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A5" w:rsidRDefault="00565BA5" w:rsidP="00565BA5">
      <w:pPr>
        <w:pStyle w:val="Overskrift2"/>
        <w:rPr>
          <w:b/>
        </w:rPr>
      </w:pPr>
      <w:bookmarkStart w:id="0" w:name="_GoBack"/>
      <w:bookmarkEnd w:id="0"/>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410"/>
        <w:gridCol w:w="7002"/>
      </w:tblGrid>
      <w:tr w:rsidR="00565BA5" w:rsidRPr="005F00C5" w:rsidTr="001A538E">
        <w:trPr>
          <w:trHeight w:val="591"/>
        </w:trPr>
        <w:tc>
          <w:tcPr>
            <w:tcW w:w="9412" w:type="dxa"/>
            <w:gridSpan w:val="2"/>
            <w:tcBorders>
              <w:top w:val="nil"/>
              <w:left w:val="nil"/>
              <w:right w:val="nil"/>
            </w:tcBorders>
            <w:vAlign w:val="center"/>
          </w:tcPr>
          <w:p w:rsidR="00565BA5" w:rsidRPr="00911313" w:rsidRDefault="00565BA5" w:rsidP="001A538E">
            <w:pPr>
              <w:spacing w:after="54"/>
              <w:rPr>
                <w:b/>
                <w:sz w:val="20"/>
              </w:rPr>
            </w:pPr>
            <w:r>
              <w:rPr>
                <w:rFonts w:eastAsia="Times New Roman"/>
                <w:b/>
                <w:i/>
                <w:sz w:val="24"/>
              </w:rPr>
              <w:t xml:space="preserve">Akkrediteringssøknaden gjelder følgende studium: </w:t>
            </w:r>
            <w:r w:rsidR="002D34CA">
              <w:rPr>
                <w:rFonts w:eastAsia="Times New Roman"/>
                <w:b/>
                <w:i/>
                <w:sz w:val="24"/>
              </w:rPr>
              <w:t>(Fyll inn)</w:t>
            </w:r>
          </w:p>
        </w:tc>
      </w:tr>
      <w:tr w:rsidR="00565BA5" w:rsidRPr="00AF6B7D" w:rsidTr="0041229A">
        <w:trPr>
          <w:trHeight w:val="3340"/>
        </w:trPr>
        <w:tc>
          <w:tcPr>
            <w:tcW w:w="2410" w:type="dxa"/>
          </w:tcPr>
          <w:p w:rsidR="00565BA5" w:rsidRPr="00AF6B7D" w:rsidRDefault="00565BA5" w:rsidP="001A538E">
            <w:pPr>
              <w:rPr>
                <w:sz w:val="24"/>
                <w:szCs w:val="24"/>
              </w:rPr>
            </w:pPr>
            <w:r w:rsidRPr="00AF6B7D">
              <w:rPr>
                <w:sz w:val="24"/>
                <w:szCs w:val="24"/>
              </w:rPr>
              <w:t xml:space="preserve">Hva </w:t>
            </w:r>
            <w:r>
              <w:rPr>
                <w:sz w:val="24"/>
                <w:szCs w:val="24"/>
              </w:rPr>
              <w:t>malen</w:t>
            </w:r>
            <w:r w:rsidRPr="00AF6B7D">
              <w:rPr>
                <w:sz w:val="24"/>
                <w:szCs w:val="24"/>
              </w:rPr>
              <w:t xml:space="preserve"> omfatter</w:t>
            </w:r>
          </w:p>
        </w:tc>
        <w:tc>
          <w:tcPr>
            <w:tcW w:w="7002" w:type="dxa"/>
          </w:tcPr>
          <w:p w:rsidR="002D34CA" w:rsidRDefault="00565BA5" w:rsidP="00565BA5">
            <w:pPr>
              <w:spacing w:after="122" w:line="236" w:lineRule="auto"/>
              <w:rPr>
                <w:rFonts w:eastAsia="Times New Roman"/>
                <w:sz w:val="24"/>
              </w:rPr>
            </w:pPr>
            <w:r>
              <w:rPr>
                <w:rFonts w:eastAsia="Times New Roman"/>
                <w:sz w:val="24"/>
              </w:rPr>
              <w:t>Akkrediteringssøknad utarbeides av fakultetet i henhold til denne mal, hvor det dokume</w:t>
            </w:r>
            <w:r w:rsidR="0041229A">
              <w:rPr>
                <w:rFonts w:eastAsia="Times New Roman"/>
                <w:sz w:val="24"/>
              </w:rPr>
              <w:t>nteres at aktuelle kriterier i S</w:t>
            </w:r>
            <w:r>
              <w:rPr>
                <w:rFonts w:eastAsia="Times New Roman"/>
                <w:sz w:val="24"/>
              </w:rPr>
              <w:t>tudietilsynsforskriften</w:t>
            </w:r>
            <w:r w:rsidR="002D34CA">
              <w:rPr>
                <w:rFonts w:eastAsia="Times New Roman"/>
                <w:sz w:val="24"/>
              </w:rPr>
              <w:t xml:space="preserve"> og Studiekvalitetsforskriften</w:t>
            </w:r>
            <w:r>
              <w:rPr>
                <w:rFonts w:eastAsia="Times New Roman"/>
                <w:sz w:val="24"/>
              </w:rPr>
              <w:t xml:space="preserve"> er oppfylt. </w:t>
            </w:r>
          </w:p>
          <w:p w:rsidR="00565BA5" w:rsidRDefault="00565BA5" w:rsidP="00565BA5">
            <w:pPr>
              <w:spacing w:after="122" w:line="236" w:lineRule="auto"/>
              <w:rPr>
                <w:rFonts w:eastAsia="Times New Roman"/>
                <w:sz w:val="24"/>
              </w:rPr>
            </w:pPr>
            <w:r>
              <w:rPr>
                <w:rFonts w:eastAsia="Times New Roman"/>
                <w:sz w:val="24"/>
              </w:rPr>
              <w:t>Søknad med komplett studieplan sendes Utdanningsutvalget for godkjenning/akkreditering.</w:t>
            </w:r>
          </w:p>
          <w:p w:rsidR="00565BA5" w:rsidRDefault="00565BA5" w:rsidP="00565BA5">
            <w:pPr>
              <w:spacing w:after="96"/>
              <w:rPr>
                <w:rFonts w:eastAsia="Times New Roman"/>
                <w:sz w:val="24"/>
              </w:rPr>
            </w:pPr>
            <w:r>
              <w:rPr>
                <w:rFonts w:eastAsia="Times New Roman"/>
                <w:sz w:val="24"/>
              </w:rPr>
              <w:t>Utdanningsutvalget akkrediterer studieprogrammer til og med 60 studiepoeng basert på vurderinger opp mot gjeldende lover og forskrifter. Høgskolestyret akkrediterer studieprogrammer over 60 studiepoeng etter innstilling fra Utdanningsutvalget.</w:t>
            </w:r>
          </w:p>
          <w:p w:rsidR="00565BA5" w:rsidRDefault="00565BA5" w:rsidP="00565BA5">
            <w:pPr>
              <w:spacing w:after="96"/>
              <w:rPr>
                <w:rFonts w:eastAsia="Times New Roman"/>
                <w:sz w:val="24"/>
              </w:rPr>
            </w:pPr>
            <w:r>
              <w:rPr>
                <w:rFonts w:eastAsia="Times New Roman"/>
                <w:sz w:val="24"/>
              </w:rPr>
              <w:t>Studieprogrammet må være akkreditert før vedtak om etablering fattes.</w:t>
            </w:r>
          </w:p>
          <w:p w:rsidR="00565BA5" w:rsidRPr="00AF6B7D" w:rsidRDefault="00565BA5" w:rsidP="00565BA5">
            <w:pPr>
              <w:spacing w:after="96"/>
              <w:rPr>
                <w:sz w:val="24"/>
                <w:szCs w:val="24"/>
              </w:rPr>
            </w:pPr>
            <w:r>
              <w:rPr>
                <w:rFonts w:eastAsia="Times New Roman"/>
                <w:sz w:val="24"/>
              </w:rPr>
              <w:t xml:space="preserve">Fakultetet oppretter en sak i arkivsystemet der akkrediteringssøknaden arkiveres. </w:t>
            </w:r>
          </w:p>
        </w:tc>
      </w:tr>
      <w:tr w:rsidR="00565BA5" w:rsidRPr="00AF6B7D" w:rsidTr="0041229A">
        <w:trPr>
          <w:trHeight w:val="1424"/>
        </w:trPr>
        <w:tc>
          <w:tcPr>
            <w:tcW w:w="2410" w:type="dxa"/>
          </w:tcPr>
          <w:p w:rsidR="00565BA5" w:rsidRPr="00AF6B7D" w:rsidRDefault="00565BA5" w:rsidP="001A538E">
            <w:pPr>
              <w:rPr>
                <w:sz w:val="24"/>
                <w:szCs w:val="24"/>
              </w:rPr>
            </w:pPr>
            <w:r w:rsidRPr="00AF6B7D">
              <w:rPr>
                <w:sz w:val="24"/>
                <w:szCs w:val="24"/>
              </w:rPr>
              <w:t>Mål</w:t>
            </w:r>
          </w:p>
        </w:tc>
        <w:tc>
          <w:tcPr>
            <w:tcW w:w="7002" w:type="dxa"/>
          </w:tcPr>
          <w:p w:rsidR="00565BA5" w:rsidRPr="00AF6B7D" w:rsidRDefault="00565BA5" w:rsidP="001A538E">
            <w:pPr>
              <w:rPr>
                <w:sz w:val="24"/>
                <w:szCs w:val="24"/>
              </w:rPr>
            </w:pPr>
            <w:r>
              <w:rPr>
                <w:sz w:val="24"/>
                <w:szCs w:val="24"/>
              </w:rPr>
              <w:t>Å sikre at høgskolen har en robust og relevant studieportefølje med utdanningsprogrammer som holder høyt faglig og pedagogisk nivå, er forskningsbasert, gir internasjonale perspektiver og har relevante former for samarbeid med arbeids- og samfunnsliv.</w:t>
            </w:r>
          </w:p>
        </w:tc>
      </w:tr>
      <w:tr w:rsidR="00565BA5" w:rsidRPr="00AF6B7D" w:rsidTr="0041229A">
        <w:trPr>
          <w:trHeight w:val="579"/>
        </w:trPr>
        <w:tc>
          <w:tcPr>
            <w:tcW w:w="2410" w:type="dxa"/>
          </w:tcPr>
          <w:p w:rsidR="00565BA5" w:rsidRPr="00AF6B7D" w:rsidRDefault="00565BA5" w:rsidP="001A538E">
            <w:pPr>
              <w:rPr>
                <w:sz w:val="24"/>
                <w:szCs w:val="24"/>
              </w:rPr>
            </w:pPr>
            <w:r w:rsidRPr="00AF6B7D">
              <w:rPr>
                <w:sz w:val="24"/>
                <w:szCs w:val="24"/>
              </w:rPr>
              <w:t>Styrende dokumenter</w:t>
            </w:r>
          </w:p>
        </w:tc>
        <w:tc>
          <w:tcPr>
            <w:tcW w:w="7002" w:type="dxa"/>
          </w:tcPr>
          <w:p w:rsidR="00565BA5" w:rsidRPr="00AF6B7D" w:rsidRDefault="00565BA5" w:rsidP="001A538E">
            <w:pPr>
              <w:rPr>
                <w:sz w:val="24"/>
                <w:szCs w:val="24"/>
              </w:rPr>
            </w:pPr>
            <w:r>
              <w:rPr>
                <w:sz w:val="24"/>
                <w:szCs w:val="24"/>
              </w:rPr>
              <w:t>Prosess i høgskolens kvalitets</w:t>
            </w:r>
            <w:r w:rsidR="00C44C49">
              <w:rPr>
                <w:sz w:val="24"/>
                <w:szCs w:val="24"/>
              </w:rPr>
              <w:t>system: Studieporteføljearbeid -  A</w:t>
            </w:r>
            <w:r>
              <w:rPr>
                <w:sz w:val="24"/>
                <w:szCs w:val="24"/>
              </w:rPr>
              <w:t>kkreditering og etablering av nye studieprogrammer</w:t>
            </w:r>
          </w:p>
        </w:tc>
      </w:tr>
    </w:tbl>
    <w:p w:rsidR="00565BA5" w:rsidRDefault="00565BA5" w:rsidP="00565BA5">
      <w:pPr>
        <w:pStyle w:val="Overskrift2"/>
        <w:rPr>
          <w:b/>
        </w:rPr>
      </w:pPr>
    </w:p>
    <w:p w:rsidR="002D34CA" w:rsidRPr="002D34CA" w:rsidRDefault="002D34CA" w:rsidP="00565BA5">
      <w:pPr>
        <w:rPr>
          <w:b/>
        </w:rPr>
      </w:pPr>
      <w:r w:rsidRPr="002D34CA">
        <w:rPr>
          <w:b/>
        </w:rPr>
        <w:t>Innledning</w:t>
      </w:r>
    </w:p>
    <w:p w:rsidR="00565BA5" w:rsidRDefault="00565BA5" w:rsidP="00565BA5">
      <w:r>
        <w:t>Selve studieplanen skal inneholde gode og relevante læringsutbyttebeskrivelser som er på riktig nivå i forhold til kvalifikasjonsrammeverket. Det bør være et godt samsvar mellom læringsutbyttebeskrivelser, undervisnings- og vurderingsformer, og programmet bør legge til rette for læringsmiljø som stimulerer studentene til å være aktive i sin egen læringsprosess. I tillegg til selve studieplan- og emnebeskrivelsene, så må en godkjenningssak også inklud</w:t>
      </w:r>
      <w:r w:rsidR="0041229A">
        <w:t>ere ut</w:t>
      </w:r>
      <w:r w:rsidR="002D34CA">
        <w:t>kvittering av Studietilsynsforsk</w:t>
      </w:r>
      <w:r w:rsidR="0041229A">
        <w:t xml:space="preserve">riftens krav til </w:t>
      </w:r>
      <w:r>
        <w:t>studietilbudet (§ 2-2)</w:t>
      </w:r>
      <w:r w:rsidR="002D34CA">
        <w:t xml:space="preserve"> og krav til fagmiljøet (§ 2-3) og Studiekvalitetsforskriftens § 3-2 Akkreditering av mastergradsstudier og § 3-3 Akkreditering av doktorgradsstudier.</w:t>
      </w:r>
    </w:p>
    <w:p w:rsidR="00565BA5" w:rsidRDefault="00565BA5" w:rsidP="00565BA5">
      <w:r>
        <w:t xml:space="preserve">MERKNAD: For at </w:t>
      </w:r>
      <w:r w:rsidR="0041229A">
        <w:t>arb</w:t>
      </w:r>
      <w:r w:rsidR="00C86068">
        <w:t>eidet med akkrediteringssøknaden</w:t>
      </w:r>
      <w:r w:rsidR="0041229A">
        <w:t xml:space="preserve"> skal bli effektivt og </w:t>
      </w:r>
      <w:r>
        <w:t>stå i forhold til studienes størrelse, så kan det lages minimumsvariante</w:t>
      </w:r>
      <w:r w:rsidR="0041229A">
        <w:t>r for studier under 60 s</w:t>
      </w:r>
      <w:r w:rsidR="00C86068">
        <w:t>tudiepoeng</w:t>
      </w:r>
      <w:r w:rsidR="0041229A">
        <w:t xml:space="preserve"> og mer utfyllende for de øvrige.</w:t>
      </w:r>
    </w:p>
    <w:p w:rsidR="00565BA5" w:rsidRDefault="00565BA5" w:rsidP="00565BA5">
      <w:pPr>
        <w:pStyle w:val="Overskrift2"/>
      </w:pPr>
    </w:p>
    <w:p w:rsidR="00DB3416" w:rsidRDefault="00DB3416">
      <w:pPr>
        <w:rPr>
          <w:rFonts w:asciiTheme="majorHAnsi" w:eastAsiaTheme="majorEastAsia" w:hAnsiTheme="majorHAnsi" w:cstheme="majorBidi"/>
          <w:color w:val="2E74B5" w:themeColor="accent1" w:themeShade="BF"/>
          <w:sz w:val="26"/>
          <w:szCs w:val="26"/>
        </w:rPr>
      </w:pPr>
      <w:r>
        <w:br w:type="page"/>
      </w:r>
    </w:p>
    <w:p w:rsidR="00565BA5" w:rsidRDefault="00565BA5" w:rsidP="00565BA5">
      <w:pPr>
        <w:pStyle w:val="Overskrift2"/>
      </w:pPr>
      <w:r>
        <w:lastRenderedPageBreak/>
        <w:t>Del 1 Generelt - Studiets forankring i strategi og profil</w:t>
      </w:r>
    </w:p>
    <w:p w:rsidR="00DB3416" w:rsidRDefault="00DB3416" w:rsidP="00DB3416">
      <w:pPr>
        <w:ind w:left="-5" w:right="4"/>
      </w:pPr>
      <w:r>
        <w:t xml:space="preserve">Redegjørelsen må minst inneholde: </w:t>
      </w:r>
    </w:p>
    <w:p w:rsidR="00C86068" w:rsidRPr="00FE6AEA" w:rsidRDefault="00565BA5" w:rsidP="00573F2D">
      <w:pPr>
        <w:pStyle w:val="Listeavsnitt"/>
        <w:numPr>
          <w:ilvl w:val="0"/>
          <w:numId w:val="15"/>
        </w:numPr>
        <w:rPr>
          <w:rFonts w:eastAsia="Arial"/>
        </w:rPr>
      </w:pPr>
      <w:r>
        <w:t>Beskrivelse av studiets faglige profil og egenart og mulig kobling til høgskolens strategi eller andre styringsdokumenter</w:t>
      </w:r>
    </w:p>
    <w:p w:rsidR="00565BA5" w:rsidRDefault="00565BA5" w:rsidP="00565BA5">
      <w:pPr>
        <w:pStyle w:val="Overskrift2"/>
        <w:rPr>
          <w:rFonts w:eastAsia="Arial"/>
        </w:rPr>
      </w:pPr>
      <w:r>
        <w:rPr>
          <w:rFonts w:eastAsia="Arial"/>
        </w:rPr>
        <w:t>Del 2 Krav til studiet (med henvisning til NOKUTs veileder til tilsynsforskriften)</w:t>
      </w:r>
      <w:r w:rsidR="002D34CA">
        <w:rPr>
          <w:rStyle w:val="Fotnotereferanse"/>
          <w:rFonts w:eastAsia="Arial"/>
        </w:rPr>
        <w:footnoteReference w:id="1"/>
      </w:r>
    </w:p>
    <w:p w:rsidR="00C86068" w:rsidRDefault="00C86068" w:rsidP="00565BA5">
      <w:pPr>
        <w:pStyle w:val="Overskrift3"/>
        <w:rPr>
          <w:rFonts w:eastAsia="Arial"/>
        </w:rPr>
      </w:pPr>
    </w:p>
    <w:p w:rsidR="00565BA5" w:rsidRDefault="00565BA5" w:rsidP="00565BA5">
      <w:pPr>
        <w:pStyle w:val="Overskrift3"/>
        <w:rPr>
          <w:rFonts w:eastAsia="Arial"/>
        </w:rPr>
      </w:pPr>
      <w:r>
        <w:rPr>
          <w:rFonts w:eastAsia="Arial"/>
        </w:rPr>
        <w:t>§ 2-2. (1) Læringsutbyttet for studietilbudet skal beskrives i samsvar med Nasjonalt kvalifikasjonsrammeverk for livslang læring</w:t>
      </w:r>
      <w:r w:rsidR="008E2BE6">
        <w:rPr>
          <w:rFonts w:eastAsia="Arial"/>
        </w:rPr>
        <w:t xml:space="preserve"> (NKR)</w:t>
      </w:r>
      <w:r>
        <w:rPr>
          <w:rFonts w:eastAsia="Arial"/>
        </w:rPr>
        <w:t xml:space="preserve">, og studietilbudet skal ha et dekkende navn. </w:t>
      </w:r>
    </w:p>
    <w:p w:rsidR="00DB3416" w:rsidRDefault="00DB3416" w:rsidP="00DB3416">
      <w:pPr>
        <w:ind w:left="-5" w:right="4"/>
      </w:pPr>
      <w:r>
        <w:t xml:space="preserve">Redegjørelsen må minst inneholde: </w:t>
      </w:r>
    </w:p>
    <w:p w:rsidR="008E2BE6" w:rsidRDefault="008E2BE6" w:rsidP="00DB3416">
      <w:pPr>
        <w:pStyle w:val="Listeavsnitt"/>
        <w:numPr>
          <w:ilvl w:val="0"/>
          <w:numId w:val="15"/>
        </w:numPr>
      </w:pPr>
      <w:r>
        <w:t>Det må gis en beskrivelse av læringsutbyttet for studiet, og en redegjørelse for hvordan dette er i samsvar med NKR. I tillegg må det gis en begrunnelse for de valgene som er tatt i arbeidet med læringsutbyttebeskrivelsen.</w:t>
      </w:r>
    </w:p>
    <w:p w:rsidR="00565BA5" w:rsidRDefault="00DB3416" w:rsidP="00DB3416">
      <w:pPr>
        <w:pStyle w:val="Listeavsnitt"/>
        <w:numPr>
          <w:ilvl w:val="0"/>
          <w:numId w:val="15"/>
        </w:numPr>
      </w:pPr>
      <w:r>
        <w:t>N</w:t>
      </w:r>
      <w:r w:rsidR="008E2BE6">
        <w:t xml:space="preserve">avnet på studiet. </w:t>
      </w:r>
      <w:r w:rsidR="00565BA5">
        <w:t>Her kan man vise til studieplanen og redegjøre for navnebruken (både engelsk og norsk navn)</w:t>
      </w:r>
      <w:r w:rsidR="00565BA5" w:rsidRPr="003803A5">
        <w:t xml:space="preserve"> </w:t>
      </w:r>
      <w:r w:rsidR="00565BA5">
        <w:t>med begrunnelse for hvordan studiet er dekkende for studiets profil og nivå og hvordan det kommuniserer med/til søkere, studenter, arbeidsgivere mm.</w:t>
      </w:r>
    </w:p>
    <w:p w:rsidR="008E2BE6" w:rsidRPr="008E2BE6" w:rsidRDefault="008E2BE6" w:rsidP="008E2BE6"/>
    <w:p w:rsidR="00565BA5" w:rsidRDefault="00565BA5" w:rsidP="00565BA5">
      <w:pPr>
        <w:pStyle w:val="Overskrift3"/>
        <w:rPr>
          <w:rFonts w:eastAsia="Arial"/>
        </w:rPr>
      </w:pPr>
      <w:r>
        <w:rPr>
          <w:rFonts w:eastAsia="Arial"/>
        </w:rPr>
        <w:t xml:space="preserve">§ 2-2. (2) Studietilbudet skal være faglig oppdatert, og ha tydelig relevans for videre studier og/eller arbeidsliv. </w:t>
      </w:r>
    </w:p>
    <w:p w:rsidR="00DB3416" w:rsidRDefault="00DB3416" w:rsidP="00DB3416">
      <w:pPr>
        <w:ind w:left="-5" w:right="4"/>
      </w:pPr>
      <w:r>
        <w:t xml:space="preserve">Redegjørelsen må minst inneholde: </w:t>
      </w:r>
    </w:p>
    <w:p w:rsidR="00565BA5" w:rsidRDefault="00565BA5" w:rsidP="00DB3416">
      <w:pPr>
        <w:pStyle w:val="Listeavsnitt"/>
        <w:numPr>
          <w:ilvl w:val="0"/>
          <w:numId w:val="14"/>
        </w:numPr>
      </w:pPr>
      <w:r>
        <w:t xml:space="preserve">Her kan det vises til studieplanens innhold, men det må også redegjøres for at studiet er faglig oppdatert innenfor kunnskapsutviklingen i sektoren og arbeids- og samfunnsliv. </w:t>
      </w:r>
    </w:p>
    <w:p w:rsidR="008E2BE6" w:rsidRDefault="008E2BE6" w:rsidP="00DB3416">
      <w:pPr>
        <w:pStyle w:val="Listeavsnitt"/>
        <w:numPr>
          <w:ilvl w:val="0"/>
          <w:numId w:val="14"/>
        </w:numPr>
      </w:pPr>
      <w:r>
        <w:t>Eksempler på mulige yrker og/eller videre studier</w:t>
      </w:r>
    </w:p>
    <w:p w:rsidR="00DB3416" w:rsidRDefault="00565BA5" w:rsidP="00ED2E6A">
      <w:pPr>
        <w:pStyle w:val="Listeavsnitt"/>
        <w:numPr>
          <w:ilvl w:val="0"/>
          <w:numId w:val="14"/>
        </w:numPr>
      </w:pPr>
      <w:r>
        <w:t>Rekrutteringsgrunnlaget for studiet må være vurdert. Det bør angis forventet antall studenter første studieår og studenter totalt ved full drift.</w:t>
      </w:r>
    </w:p>
    <w:p w:rsidR="00565BA5" w:rsidRDefault="00565BA5" w:rsidP="00565BA5">
      <w:pPr>
        <w:pStyle w:val="Overskrift3"/>
        <w:rPr>
          <w:rFonts w:eastAsia="Arial"/>
        </w:rPr>
      </w:pPr>
      <w:r>
        <w:rPr>
          <w:rFonts w:eastAsia="Arial"/>
        </w:rPr>
        <w:t>§ 2-2. (3) Studietilbudets samlede arbeidsomfang skal være på 1500– 1800 timer per år for heltidsstudier</w:t>
      </w:r>
    </w:p>
    <w:p w:rsidR="00DB3416" w:rsidRDefault="00DB3416" w:rsidP="00DB3416">
      <w:pPr>
        <w:ind w:left="-5" w:right="4"/>
      </w:pPr>
      <w:r>
        <w:t xml:space="preserve">Redegjørelsen må minst inneholde: </w:t>
      </w:r>
    </w:p>
    <w:p w:rsidR="00565BA5" w:rsidRDefault="00DB3416" w:rsidP="00DB3416">
      <w:pPr>
        <w:pStyle w:val="Listeavsnitt"/>
        <w:numPr>
          <w:ilvl w:val="0"/>
          <w:numId w:val="17"/>
        </w:numPr>
      </w:pPr>
      <w:r>
        <w:t>Beskrivelse av studentenes arbeidsomfang i studiet per semester totalt, samt fordelt på k</w:t>
      </w:r>
      <w:r w:rsidR="00565BA5">
        <w:t>ategoriene organisert undervisning, selvstudium og eksamensforberedelser. Dette kan gjerne illustreres i en tabell.</w:t>
      </w:r>
      <w:r>
        <w:t xml:space="preserve"> Beskrivelsen må vise at arbeidsomfanget er tilpasset studietilbudets profil og læringsutbytte.</w:t>
      </w:r>
    </w:p>
    <w:p w:rsidR="00DB3416" w:rsidRDefault="00DB3416" w:rsidP="00565BA5"/>
    <w:p w:rsidR="00565BA5" w:rsidRDefault="00565BA5" w:rsidP="00565BA5">
      <w:pPr>
        <w:pStyle w:val="Overskrift3"/>
      </w:pPr>
      <w:r>
        <w:rPr>
          <w:rFonts w:eastAsia="Arial"/>
        </w:rPr>
        <w:t xml:space="preserve">§ 2-2. (4) Studietilbudets innhold, oppbygging og infrastruktur skal være tilpasset læringsutbyttet for studietilbudet. </w:t>
      </w:r>
    </w:p>
    <w:p w:rsidR="00565BA5" w:rsidRDefault="00565BA5" w:rsidP="00565BA5">
      <w:pPr>
        <w:ind w:left="-5" w:right="4"/>
      </w:pPr>
      <w:r>
        <w:t xml:space="preserve">Redegjørelsen må minst inneholde: </w:t>
      </w:r>
    </w:p>
    <w:p w:rsidR="00565BA5" w:rsidRPr="00A4533B" w:rsidRDefault="00565BA5" w:rsidP="00565BA5">
      <w:pPr>
        <w:numPr>
          <w:ilvl w:val="0"/>
          <w:numId w:val="1"/>
        </w:numPr>
        <w:spacing w:after="23" w:line="269" w:lineRule="auto"/>
        <w:ind w:right="4" w:hanging="360"/>
      </w:pPr>
      <w:r w:rsidRPr="00A4533B">
        <w:t xml:space="preserve">En beskrivelse av alle studiets emner med angivelse av hvilke som er obligatoriske og hvilke som er valgfrie. </w:t>
      </w:r>
    </w:p>
    <w:p w:rsidR="00565BA5" w:rsidRPr="00A4533B" w:rsidRDefault="00565BA5" w:rsidP="00565BA5">
      <w:pPr>
        <w:numPr>
          <w:ilvl w:val="0"/>
          <w:numId w:val="1"/>
        </w:numPr>
        <w:spacing w:after="23" w:line="269" w:lineRule="auto"/>
        <w:ind w:right="4" w:hanging="360"/>
      </w:pPr>
      <w:r w:rsidRPr="00A4533B">
        <w:t xml:space="preserve">Begrunnelse for hvordan studiets innhold og oppbygning gir grunnlag for at studentene oppnår læringsutbyttet. Dette kan gjerne illustreres i en tabell. </w:t>
      </w:r>
    </w:p>
    <w:p w:rsidR="00DB3416" w:rsidRDefault="00565BA5" w:rsidP="00565BA5">
      <w:pPr>
        <w:numPr>
          <w:ilvl w:val="0"/>
          <w:numId w:val="1"/>
        </w:numPr>
        <w:spacing w:after="23" w:line="269" w:lineRule="auto"/>
        <w:ind w:right="4" w:hanging="360"/>
      </w:pPr>
      <w:r w:rsidRPr="00A4533B">
        <w:t xml:space="preserve">Beskrivelse av hva slags infrastruktur, annet utstyr og støttefunksjoner som er nødvendig for at studentene skal kunne oppnå læringsutbyttet. </w:t>
      </w:r>
    </w:p>
    <w:p w:rsidR="00565BA5" w:rsidRDefault="00565BA5" w:rsidP="00565BA5">
      <w:pPr>
        <w:numPr>
          <w:ilvl w:val="0"/>
          <w:numId w:val="1"/>
        </w:numPr>
        <w:spacing w:after="23" w:line="269" w:lineRule="auto"/>
        <w:ind w:right="4" w:hanging="360"/>
      </w:pPr>
      <w:r w:rsidRPr="00A4533B">
        <w:t>Begrunnelse for at nødvendig infrastruktur, annet utstyr og støttefunksjoner er tilgjengelig og dimensjonert i forhold til antall studenter.</w:t>
      </w:r>
    </w:p>
    <w:p w:rsidR="00C86068" w:rsidRDefault="00C86068" w:rsidP="00565BA5">
      <w:pPr>
        <w:pStyle w:val="Overskrift3"/>
        <w:rPr>
          <w:rFonts w:eastAsia="Arial"/>
        </w:rPr>
      </w:pPr>
    </w:p>
    <w:p w:rsidR="00565BA5" w:rsidRDefault="00565BA5" w:rsidP="00565BA5">
      <w:pPr>
        <w:pStyle w:val="Overskrift3"/>
      </w:pPr>
      <w:r>
        <w:rPr>
          <w:rFonts w:eastAsia="Arial"/>
        </w:rPr>
        <w:t xml:space="preserve">§ 2-2. (5) Undervisnings-, lærings- og vurderingsformer skal være tilpasset læringsutbyttet for studietilbudet. Det skal legges til rette for at studenten kan ta en </w:t>
      </w:r>
      <w:r w:rsidRPr="00033605">
        <w:rPr>
          <w:rFonts w:eastAsia="Arial"/>
        </w:rPr>
        <w:t>aktiv rolle i læringsprosessen.</w:t>
      </w:r>
      <w:r>
        <w:rPr>
          <w:rFonts w:eastAsia="Arial"/>
        </w:rPr>
        <w:t xml:space="preserve"> </w:t>
      </w:r>
    </w:p>
    <w:p w:rsidR="00565BA5" w:rsidRDefault="00565BA5" w:rsidP="00565BA5">
      <w:pPr>
        <w:ind w:left="-5" w:right="4"/>
      </w:pPr>
      <w:r>
        <w:t xml:space="preserve">Redegjørelsen skal minst inneholde: </w:t>
      </w:r>
    </w:p>
    <w:p w:rsidR="00565BA5" w:rsidRDefault="00565BA5" w:rsidP="00565BA5">
      <w:pPr>
        <w:numPr>
          <w:ilvl w:val="0"/>
          <w:numId w:val="2"/>
        </w:numPr>
        <w:spacing w:after="0" w:line="269" w:lineRule="auto"/>
        <w:ind w:right="4" w:hanging="360"/>
      </w:pPr>
      <w:r>
        <w:t xml:space="preserve">Oversikt over alle undervisnings-, lærings- og vurderingsformer som skal benyttes  </w:t>
      </w:r>
    </w:p>
    <w:p w:rsidR="00565BA5" w:rsidRDefault="00565BA5" w:rsidP="00565BA5">
      <w:pPr>
        <w:numPr>
          <w:ilvl w:val="0"/>
          <w:numId w:val="2"/>
        </w:numPr>
        <w:spacing w:after="20" w:line="269" w:lineRule="auto"/>
        <w:ind w:right="4" w:hanging="360"/>
      </w:pPr>
      <w:r>
        <w:t xml:space="preserve">Begrunnelse for hvorfor hver enkelt undervisnings-, lærings- og vurderingsform er valgt, og for hvordan disse formene gir grunnlag for at studentene oppnår læringsutbyttet. </w:t>
      </w:r>
    </w:p>
    <w:p w:rsidR="00565BA5" w:rsidRDefault="00565BA5" w:rsidP="00565BA5">
      <w:pPr>
        <w:numPr>
          <w:ilvl w:val="0"/>
          <w:numId w:val="2"/>
        </w:numPr>
        <w:spacing w:after="206" w:line="269" w:lineRule="auto"/>
        <w:ind w:right="4" w:hanging="360"/>
      </w:pPr>
      <w:r>
        <w:t xml:space="preserve">Beskrivelse av hvordan fagmiljøet legger til rette for at studentene kan ta en aktiv rolle i læringsprosessen </w:t>
      </w:r>
    </w:p>
    <w:p w:rsidR="00C86068" w:rsidRDefault="00C86068" w:rsidP="00565BA5">
      <w:pPr>
        <w:pStyle w:val="Overskrift3"/>
        <w:rPr>
          <w:rFonts w:eastAsia="Arial"/>
        </w:rPr>
      </w:pPr>
    </w:p>
    <w:p w:rsidR="00565BA5" w:rsidRDefault="00565BA5" w:rsidP="00565BA5">
      <w:pPr>
        <w:pStyle w:val="Overskrift3"/>
      </w:pPr>
      <w:r w:rsidRPr="00A4533B">
        <w:rPr>
          <w:rFonts w:eastAsia="Arial"/>
        </w:rPr>
        <w:t xml:space="preserve">§ 2-2. (6) Studietilbudet skal ha relevant kobling til forskning og/eller kunstnerisk utviklingsarbeid, og faglig utviklingsarbeid. </w:t>
      </w:r>
    </w:p>
    <w:p w:rsidR="00565BA5" w:rsidRDefault="00565BA5" w:rsidP="00565BA5">
      <w:pPr>
        <w:ind w:left="-5" w:right="4"/>
      </w:pPr>
      <w:r>
        <w:t xml:space="preserve">Redegjørelsen skal minst inneholde: </w:t>
      </w:r>
    </w:p>
    <w:p w:rsidR="00565BA5" w:rsidRDefault="00565BA5" w:rsidP="00565BA5">
      <w:pPr>
        <w:numPr>
          <w:ilvl w:val="0"/>
          <w:numId w:val="3"/>
        </w:numPr>
        <w:spacing w:after="20" w:line="269" w:lineRule="auto"/>
        <w:ind w:right="4" w:hanging="360"/>
      </w:pPr>
      <w:r>
        <w:t xml:space="preserve">Beskrivelse av hvordan studentene vil møte forskning og faglig og/eller kunstnerisk utviklingsarbeid gjennom studietilbudet. </w:t>
      </w:r>
    </w:p>
    <w:p w:rsidR="00565BA5" w:rsidRPr="003803A5" w:rsidRDefault="00565BA5" w:rsidP="00565BA5">
      <w:pPr>
        <w:numPr>
          <w:ilvl w:val="0"/>
          <w:numId w:val="3"/>
        </w:numPr>
        <w:spacing w:after="524" w:line="269" w:lineRule="auto"/>
        <w:ind w:right="4" w:hanging="360"/>
      </w:pPr>
      <w:r>
        <w:t xml:space="preserve">Begrunnelse for at studiet har en relevant kobling til forskning og/eller kunstnerisk utviklingsarbeid, og faglig utviklingsarbeid. </w:t>
      </w:r>
    </w:p>
    <w:p w:rsidR="00565BA5" w:rsidRPr="00A4533B" w:rsidRDefault="00565BA5" w:rsidP="00565BA5">
      <w:pPr>
        <w:pStyle w:val="Overskrift3"/>
      </w:pPr>
      <w:r>
        <w:rPr>
          <w:rFonts w:eastAsia="Arial"/>
        </w:rPr>
        <w:t>§ 2-2. (7) Studietilbudet skal ha ordninger for internasjonalisering som er tilpasset studietilbudets nivå, omfang og egenart.</w:t>
      </w:r>
      <w:r w:rsidRPr="00A4533B">
        <w:rPr>
          <w:rFonts w:ascii="Arial" w:eastAsia="Arial" w:hAnsi="Arial" w:cs="Arial"/>
          <w:b/>
          <w:sz w:val="26"/>
        </w:rPr>
        <w:t xml:space="preserve"> </w:t>
      </w:r>
      <w:r w:rsidRPr="00A4533B">
        <w:t>(8) Studietilbud som fører fram til en grad skal ha ordninger for internasjonal studentutveksling. Innholdet i utvekslingen skal være faglig relevant</w:t>
      </w:r>
    </w:p>
    <w:p w:rsidR="00565BA5" w:rsidRDefault="00565BA5" w:rsidP="00565BA5">
      <w:pPr>
        <w:ind w:left="-5" w:right="4"/>
      </w:pPr>
      <w:r>
        <w:t xml:space="preserve">Kravet innebærer at studietilbudet settes i en internasjonal kontekst og at studentene på denne måten eksponeres for et mangfold av perspektiver. </w:t>
      </w:r>
    </w:p>
    <w:p w:rsidR="00565BA5" w:rsidRDefault="00565BA5" w:rsidP="00565BA5">
      <w:pPr>
        <w:ind w:left="-5" w:right="4"/>
      </w:pPr>
      <w:r>
        <w:t xml:space="preserve">Redegjørelsen skal minst inneholde: </w:t>
      </w:r>
    </w:p>
    <w:p w:rsidR="00565BA5" w:rsidRDefault="00565BA5" w:rsidP="00565BA5">
      <w:pPr>
        <w:numPr>
          <w:ilvl w:val="0"/>
          <w:numId w:val="4"/>
        </w:numPr>
        <w:spacing w:after="0" w:line="269" w:lineRule="auto"/>
        <w:ind w:right="4" w:hanging="360"/>
      </w:pPr>
      <w:r>
        <w:t xml:space="preserve">Beskrivelse av ordninger for internasjonalisering. </w:t>
      </w:r>
    </w:p>
    <w:p w:rsidR="00565BA5" w:rsidRDefault="00565BA5" w:rsidP="00565BA5">
      <w:pPr>
        <w:numPr>
          <w:ilvl w:val="0"/>
          <w:numId w:val="4"/>
        </w:numPr>
        <w:spacing w:after="170" w:line="269" w:lineRule="auto"/>
        <w:ind w:right="4" w:hanging="360"/>
      </w:pPr>
      <w:r>
        <w:lastRenderedPageBreak/>
        <w:t xml:space="preserve">Begrunnelse for at ordningene er relevante for studietilbudet. </w:t>
      </w:r>
    </w:p>
    <w:p w:rsidR="00565BA5" w:rsidRDefault="00565BA5" w:rsidP="00565BA5">
      <w:pPr>
        <w:numPr>
          <w:ilvl w:val="0"/>
          <w:numId w:val="4"/>
        </w:numPr>
        <w:spacing w:after="20" w:line="269" w:lineRule="auto"/>
        <w:ind w:right="4" w:hanging="360"/>
      </w:pPr>
      <w:r>
        <w:t xml:space="preserve">Beskrivelse av ordninger for studentutveksling og begrunnelse for at avtalene er faglig relevante. </w:t>
      </w:r>
    </w:p>
    <w:p w:rsidR="00565BA5" w:rsidRDefault="00565BA5" w:rsidP="00565BA5">
      <w:pPr>
        <w:numPr>
          <w:ilvl w:val="0"/>
          <w:numId w:val="4"/>
        </w:numPr>
        <w:spacing w:after="170" w:line="269" w:lineRule="auto"/>
        <w:ind w:right="4" w:hanging="360"/>
      </w:pPr>
      <w:r>
        <w:t>Beskrivelse av hvilket tidspunkt i studiet utveksling er mulig og begrunnelse for at utveksling kan innpasses i det ordinære studieløpet.</w:t>
      </w:r>
    </w:p>
    <w:p w:rsidR="00565BA5" w:rsidRDefault="00565BA5" w:rsidP="00565BA5">
      <w:pPr>
        <w:pStyle w:val="Overskrift3"/>
      </w:pPr>
      <w:r>
        <w:rPr>
          <w:rFonts w:eastAsia="Arial"/>
        </w:rPr>
        <w:t xml:space="preserve">§ 2-2. (9) For studietilbud med praksis skal det foreligge praksisavtale mellom institusjon og praksissted. </w:t>
      </w:r>
    </w:p>
    <w:p w:rsidR="00565BA5" w:rsidRDefault="00565BA5" w:rsidP="00565BA5">
      <w:r>
        <w:t xml:space="preserve">Avtaler skal regulere den faglige gjennomføringen av praksis og andre forhold som er av betydning for studentens læringsutbytte og for kvaliteten i praksisoppholdet. </w:t>
      </w:r>
      <w:r w:rsidRPr="00A4533B">
        <w:t>Dette innebærer blant annet at avtalen skal beskrive partenes rettigheter og plikter.</w:t>
      </w:r>
    </w:p>
    <w:p w:rsidR="00565BA5" w:rsidRDefault="00565BA5" w:rsidP="00565BA5">
      <w:pPr>
        <w:ind w:left="-5" w:right="4"/>
      </w:pPr>
      <w:r>
        <w:t xml:space="preserve">Redegjørelsen skal minst inneholde: </w:t>
      </w:r>
    </w:p>
    <w:p w:rsidR="00565BA5" w:rsidRDefault="00565BA5" w:rsidP="00565BA5">
      <w:pPr>
        <w:numPr>
          <w:ilvl w:val="0"/>
          <w:numId w:val="5"/>
        </w:numPr>
        <w:spacing w:after="20" w:line="269" w:lineRule="auto"/>
        <w:ind w:right="4" w:hanging="360"/>
      </w:pPr>
      <w:r>
        <w:t xml:space="preserve">Beskrivelse av hvordan institusjonen legger til rette for og gjennomfører praksis i studietilbudet. </w:t>
      </w:r>
    </w:p>
    <w:p w:rsidR="00565BA5" w:rsidRDefault="00565BA5" w:rsidP="00565BA5">
      <w:pPr>
        <w:numPr>
          <w:ilvl w:val="0"/>
          <w:numId w:val="5"/>
        </w:numPr>
        <w:spacing w:after="206" w:line="269" w:lineRule="auto"/>
        <w:ind w:right="4" w:hanging="360"/>
      </w:pPr>
      <w:r>
        <w:t xml:space="preserve">Begrunnelse for at praksis er faglig relevant for studietilbudet og bidrar til at studentene oppnår læringsutbytte. </w:t>
      </w:r>
    </w:p>
    <w:p w:rsidR="00DB3416" w:rsidRDefault="00DB3416" w:rsidP="00565BA5">
      <w:pPr>
        <w:pStyle w:val="Overskrift2"/>
      </w:pPr>
    </w:p>
    <w:p w:rsidR="00565BA5" w:rsidRDefault="00565BA5" w:rsidP="00565BA5">
      <w:pPr>
        <w:pStyle w:val="Overskrift2"/>
      </w:pPr>
      <w:r>
        <w:t>Del 3 Krav til fagmiljøet</w:t>
      </w:r>
    </w:p>
    <w:p w:rsidR="00565BA5" w:rsidRDefault="00565BA5" w:rsidP="00565BA5">
      <w:r>
        <w:t>De følgende kravene gjelder alle studietilbud uavhengig av hvilket nivå tilbudet er på.</w:t>
      </w:r>
      <w:r w:rsidR="00FD2D27">
        <w:rPr>
          <w:rStyle w:val="Fotnotereferanse"/>
        </w:rPr>
        <w:footnoteReference w:id="2"/>
      </w:r>
    </w:p>
    <w:p w:rsidR="00C86068" w:rsidRDefault="00C86068" w:rsidP="00565BA5">
      <w:pPr>
        <w:pStyle w:val="Overskrift3"/>
        <w:rPr>
          <w:rFonts w:eastAsia="Arial"/>
        </w:rPr>
      </w:pPr>
    </w:p>
    <w:p w:rsidR="00565BA5" w:rsidRDefault="00565BA5" w:rsidP="00565BA5">
      <w:pPr>
        <w:pStyle w:val="Overskrift3"/>
      </w:pPr>
      <w:r>
        <w:rPr>
          <w:rFonts w:eastAsia="Arial"/>
        </w:rPr>
        <w:t xml:space="preserve">§ 2-3. (1) Fagmiljøet tilknyttet studietilbudet skal ha en størrelse som står i forhold til antall studenter og studiets egenart, være kompetansemessig stabilt over tid og ha en sammensetning som dekker de fag og emner som inngår i studietilbudet. </w:t>
      </w:r>
    </w:p>
    <w:p w:rsidR="00565BA5" w:rsidRDefault="00565BA5" w:rsidP="00565BA5">
      <w:pPr>
        <w:ind w:left="-5" w:right="4"/>
      </w:pPr>
      <w:r>
        <w:t xml:space="preserve">Redegjørelsen skal minst inneholde: </w:t>
      </w:r>
    </w:p>
    <w:p w:rsidR="00565BA5" w:rsidRDefault="00565BA5" w:rsidP="00565BA5">
      <w:pPr>
        <w:numPr>
          <w:ilvl w:val="0"/>
          <w:numId w:val="6"/>
        </w:numPr>
        <w:spacing w:after="21" w:line="269" w:lineRule="auto"/>
        <w:ind w:right="4" w:hanging="360"/>
      </w:pPr>
      <w:r>
        <w:t>En oversikt over fagmiljøets ansvarsområder og oppgaver i studiet (undervisning, veiledning, FoU</w:t>
      </w:r>
      <w:r>
        <w:rPr>
          <w:sz w:val="20"/>
        </w:rPr>
        <w:t>/KU</w:t>
      </w:r>
      <w:r>
        <w:t xml:space="preserve">, faglig ledelse etc). </w:t>
      </w:r>
    </w:p>
    <w:p w:rsidR="00565BA5" w:rsidRDefault="00565BA5" w:rsidP="00565BA5">
      <w:pPr>
        <w:numPr>
          <w:ilvl w:val="0"/>
          <w:numId w:val="6"/>
        </w:numPr>
        <w:spacing w:after="21" w:line="269" w:lineRule="auto"/>
        <w:ind w:right="4" w:hanging="360"/>
      </w:pPr>
      <w:r>
        <w:lastRenderedPageBreak/>
        <w:t xml:space="preserve">En beskrivelse av fagmiljøets kompetanse og begrunnelse for hvordan denne kompetansen er tilstrekkelig bred til å dekke studiets fag og emner. </w:t>
      </w:r>
    </w:p>
    <w:p w:rsidR="00565BA5" w:rsidRDefault="00565BA5" w:rsidP="00565BA5">
      <w:pPr>
        <w:numPr>
          <w:ilvl w:val="0"/>
          <w:numId w:val="6"/>
        </w:numPr>
        <w:spacing w:after="0" w:line="269" w:lineRule="auto"/>
        <w:ind w:right="4" w:hanging="360"/>
      </w:pPr>
      <w:r>
        <w:t>Angivelse av fagmiljøets størrelse i årsverk og ant</w:t>
      </w:r>
      <w:r w:rsidR="00DF4EE4">
        <w:t>all faglig tilsatt per student.</w:t>
      </w:r>
    </w:p>
    <w:p w:rsidR="00565BA5" w:rsidRDefault="00565BA5" w:rsidP="00565BA5">
      <w:pPr>
        <w:numPr>
          <w:ilvl w:val="0"/>
          <w:numId w:val="6"/>
        </w:numPr>
        <w:spacing w:after="23" w:line="269" w:lineRule="auto"/>
        <w:ind w:right="4" w:hanging="360"/>
      </w:pPr>
      <w:r>
        <w:t xml:space="preserve">Begrunnelse for at fagmiljøets størrelse er tilpasset antall studenter og den undervisning og veiledning og FoU/KU som er tilknyttet studietilbudet. </w:t>
      </w:r>
    </w:p>
    <w:p w:rsidR="00565BA5" w:rsidRDefault="00565BA5" w:rsidP="00565BA5">
      <w:pPr>
        <w:numPr>
          <w:ilvl w:val="0"/>
          <w:numId w:val="6"/>
        </w:numPr>
        <w:spacing w:after="526" w:line="269" w:lineRule="auto"/>
        <w:ind w:right="4" w:hanging="360"/>
      </w:pPr>
      <w:r>
        <w:t xml:space="preserve">Begrunnelse for hvordan søker vil sikre et stabilt fagmiljø som har den riktige kompetansen for studietilbudet over tid. </w:t>
      </w:r>
    </w:p>
    <w:p w:rsidR="00565BA5" w:rsidRDefault="00565BA5" w:rsidP="00565BA5">
      <w:pPr>
        <w:pStyle w:val="Overskrift3"/>
      </w:pPr>
      <w:r w:rsidRPr="000066A3">
        <w:rPr>
          <w:rFonts w:eastAsia="Arial"/>
        </w:rPr>
        <w:t xml:space="preserve">§ 2-3. (2) Fagmiljøet tilknyttet studietilbudet skal ha relevant utdanningsfaglig kompetanse. </w:t>
      </w:r>
    </w:p>
    <w:p w:rsidR="00565BA5" w:rsidRDefault="00565BA5" w:rsidP="00565BA5">
      <w:pPr>
        <w:spacing w:after="0"/>
        <w:ind w:left="-5" w:right="4"/>
      </w:pPr>
      <w:r>
        <w:t xml:space="preserve">Utdanningsfaglig kompetanse omfatter UH-pedagogikk og didaktikk, og inkluderer også kompetanse til å utnytte digital teknologi for å fremme læring. </w:t>
      </w:r>
    </w:p>
    <w:p w:rsidR="00565BA5" w:rsidRDefault="00565BA5" w:rsidP="00565BA5">
      <w:pPr>
        <w:spacing w:after="0"/>
        <w:ind w:left="-5" w:right="4"/>
      </w:pPr>
    </w:p>
    <w:p w:rsidR="00565BA5" w:rsidRDefault="00565BA5" w:rsidP="00565BA5">
      <w:pPr>
        <w:spacing w:after="0" w:line="240" w:lineRule="auto"/>
        <w:ind w:left="-5" w:right="4"/>
      </w:pPr>
      <w:r>
        <w:t xml:space="preserve">Redegjørelsen skal minst inneholde: </w:t>
      </w:r>
    </w:p>
    <w:p w:rsidR="00565BA5" w:rsidRDefault="00565BA5" w:rsidP="00565BA5">
      <w:pPr>
        <w:numPr>
          <w:ilvl w:val="0"/>
          <w:numId w:val="7"/>
        </w:numPr>
        <w:spacing w:after="0" w:line="269" w:lineRule="auto"/>
        <w:ind w:right="4" w:hanging="360"/>
      </w:pPr>
      <w:r>
        <w:t xml:space="preserve">Beskrivelse av fagmiljøets UH-pedagogiske, didaktiske og digitale kompetanse. </w:t>
      </w:r>
    </w:p>
    <w:p w:rsidR="00565BA5" w:rsidRDefault="00565BA5" w:rsidP="00565BA5">
      <w:pPr>
        <w:numPr>
          <w:ilvl w:val="0"/>
          <w:numId w:val="7"/>
        </w:numPr>
        <w:spacing w:after="23" w:line="269" w:lineRule="auto"/>
        <w:ind w:right="4" w:hanging="360"/>
      </w:pPr>
      <w:r>
        <w:t xml:space="preserve">Beskrivelse av hvilke tiltak institusjonen har for å sikre og utvikle fagmiljøets utdanningsfaglige kompetanse. </w:t>
      </w:r>
    </w:p>
    <w:p w:rsidR="00565BA5" w:rsidRDefault="00565BA5" w:rsidP="00565BA5">
      <w:pPr>
        <w:numPr>
          <w:ilvl w:val="0"/>
          <w:numId w:val="7"/>
        </w:numPr>
        <w:spacing w:after="170" w:line="269" w:lineRule="auto"/>
        <w:ind w:right="4" w:hanging="360"/>
      </w:pPr>
      <w:r>
        <w:t xml:space="preserve">Redegjørelse for fagmiljøets digitale kompetanse og hvordan denne sikres og vedlikeholdes. </w:t>
      </w:r>
    </w:p>
    <w:p w:rsidR="00C86068" w:rsidRDefault="00C86068" w:rsidP="00565BA5">
      <w:pPr>
        <w:pStyle w:val="Overskrift3"/>
        <w:rPr>
          <w:rFonts w:eastAsia="Arial"/>
        </w:rPr>
      </w:pPr>
    </w:p>
    <w:p w:rsidR="00565BA5" w:rsidRDefault="00565BA5" w:rsidP="00565BA5">
      <w:pPr>
        <w:pStyle w:val="Overskrift3"/>
        <w:rPr>
          <w:rFonts w:eastAsia="Arial"/>
        </w:rPr>
      </w:pPr>
      <w:r>
        <w:rPr>
          <w:rFonts w:eastAsia="Arial"/>
        </w:rPr>
        <w:t>§ 2-3. (3) Studietilbudet skal ha en tydelig faglig ledelse med et definert ansvar for kvalitetssikring og kvalitetsutvikling av studiet.</w:t>
      </w:r>
    </w:p>
    <w:p w:rsidR="00565BA5" w:rsidRDefault="00565BA5" w:rsidP="00565BA5">
      <w:pPr>
        <w:pStyle w:val="Merknadstekst"/>
      </w:pPr>
      <w:r>
        <w:t>Tydelig faglig ledelse. Dette kan være vanskelig å besvare. Det skal være en fagperson eller et fellesskap. Men, ikke et administrativt anliggende. De som har ansvaret skal ha kompetanse til å kunne utvikle studiet.</w:t>
      </w:r>
    </w:p>
    <w:p w:rsidR="00565BA5" w:rsidRDefault="00565BA5" w:rsidP="00565BA5">
      <w:pPr>
        <w:ind w:left="-5" w:right="4"/>
      </w:pPr>
      <w:r>
        <w:t xml:space="preserve">Redegjørelsen skal minst inneholde: </w:t>
      </w:r>
    </w:p>
    <w:p w:rsidR="00565BA5" w:rsidRDefault="00565BA5" w:rsidP="00565BA5">
      <w:pPr>
        <w:numPr>
          <w:ilvl w:val="0"/>
          <w:numId w:val="8"/>
        </w:numPr>
        <w:spacing w:after="0" w:line="269" w:lineRule="auto"/>
        <w:ind w:right="4" w:hanging="360"/>
      </w:pPr>
      <w:r>
        <w:t xml:space="preserve">Beskrivelse av studiets faglige ledelse og ved hvilket nivå ved institusjonen den er etablert på. </w:t>
      </w:r>
    </w:p>
    <w:p w:rsidR="00565BA5" w:rsidRDefault="00565BA5" w:rsidP="00565BA5">
      <w:pPr>
        <w:numPr>
          <w:ilvl w:val="0"/>
          <w:numId w:val="8"/>
        </w:numPr>
        <w:spacing w:after="206" w:line="269" w:lineRule="auto"/>
        <w:ind w:right="4" w:hanging="360"/>
      </w:pPr>
      <w:r>
        <w:t xml:space="preserve">Redegjørelse for den faglige ledelsens oppgaver knyttet til studietilbudet. </w:t>
      </w:r>
    </w:p>
    <w:p w:rsidR="00C86068" w:rsidRDefault="00C86068" w:rsidP="00565BA5">
      <w:pPr>
        <w:pStyle w:val="Overskrift3"/>
        <w:rPr>
          <w:rFonts w:eastAsia="Arial"/>
        </w:rPr>
      </w:pPr>
    </w:p>
    <w:p w:rsidR="00565BA5" w:rsidRDefault="00565BA5" w:rsidP="00565BA5">
      <w:pPr>
        <w:pStyle w:val="Overskrift3"/>
        <w:rPr>
          <w:rFonts w:eastAsia="Arial"/>
        </w:rPr>
      </w:pPr>
      <w:r w:rsidRPr="000066A3">
        <w:rPr>
          <w:rFonts w:eastAsia="Arial"/>
        </w:rPr>
        <w:t xml:space="preserve">§ 2-3. (4) Minst 50 prosent av årsverkene knyttet til studietilbudet skal utgjøres av ansatte i hovedstilling ved institusjonen. Av disse skal det være ansatte med minst førstestillingskompetanse i de </w:t>
      </w:r>
      <w:r w:rsidRPr="00DF4EE4">
        <w:rPr>
          <w:rFonts w:eastAsia="Arial"/>
        </w:rPr>
        <w:t>sentrale delene</w:t>
      </w:r>
      <w:r w:rsidRPr="000066A3">
        <w:rPr>
          <w:rFonts w:eastAsia="Arial"/>
        </w:rPr>
        <w:t xml:space="preserve"> av studietilbudet. I tillegg gjelder følgende krav til fagmiljøets kompetansenivå: </w:t>
      </w:r>
    </w:p>
    <w:p w:rsidR="00565BA5" w:rsidRDefault="00565BA5" w:rsidP="00DF4EE4">
      <w:pPr>
        <w:ind w:left="708"/>
      </w:pPr>
      <w:r>
        <w:t xml:space="preserve">a) For studietilbud på bachelorgradsnivå skal fagmiljøet tilknyttet studiet bestå av minst 20 prosent ansatte med førstestillingskompetanse. </w:t>
      </w:r>
    </w:p>
    <w:p w:rsidR="00565BA5" w:rsidRDefault="00565BA5" w:rsidP="00DF4EE4">
      <w:pPr>
        <w:ind w:left="708"/>
      </w:pPr>
      <w:r>
        <w:t>b) For studietilbud på mastergradsnivå skal 50 prosent av fagmiljøet tilknyttet studiet bestå av ansatte med førstestillingskompetanse, hvorav minst 10 prosent med professor- eller dosent kompetanse</w:t>
      </w:r>
      <w:r>
        <w:rPr>
          <w:vertAlign w:val="superscript"/>
        </w:rPr>
        <w:footnoteReference w:id="3"/>
      </w:r>
      <w:r>
        <w:t xml:space="preserve">. </w:t>
      </w:r>
    </w:p>
    <w:p w:rsidR="00565BA5" w:rsidRDefault="00565BA5" w:rsidP="00DF4EE4">
      <w:pPr>
        <w:ind w:left="708"/>
      </w:pPr>
      <w:r>
        <w:t xml:space="preserve">c) For studietilbud på doktorgradsnivå skal fagmiljøet tilknyttet studiet bestå av ansatte med førstestillingskompetanse, hvorav minst 50 prosent med professorkompetanse. </w:t>
      </w:r>
    </w:p>
    <w:p w:rsidR="007C1AED" w:rsidRDefault="00565BA5" w:rsidP="00565BA5">
      <w:pPr>
        <w:spacing w:after="431" w:line="249" w:lineRule="auto"/>
        <w:ind w:left="-5" w:right="9"/>
      </w:pPr>
      <w:r>
        <w:lastRenderedPageBreak/>
        <w:t xml:space="preserve">Merk: </w:t>
      </w:r>
      <w:r w:rsidRPr="002A0D55">
        <w:t>§ 2-4. Kravet til hovedstilling i § 2-3 (4) kan fravikes for studietilbud med omfang på 30 studiepoeng eller mindre dersom det gis i samarbeid med eksterne miljøer som driver forskning, kunstnerisk utviklingsarbeid eller faglig utviklingsarbeid på nivå med institusjonens eget fagmiljø. Institusjonen må ha et eget fagmiljø innenfor studietilbudets fagområde eller i tilstøtende fagområde og ha et helhetlig ansvar for studietilbudet.</w:t>
      </w:r>
    </w:p>
    <w:p w:rsidR="00DF4EE4" w:rsidRDefault="00DF4EE4" w:rsidP="00565BA5">
      <w:pPr>
        <w:spacing w:after="431" w:line="249" w:lineRule="auto"/>
        <w:ind w:left="-5" w:right="9"/>
      </w:pPr>
      <w:r>
        <w:t>Fyll ut vedlegg 1, som del av søknaden.</w:t>
      </w:r>
    </w:p>
    <w:p w:rsidR="00565BA5" w:rsidRDefault="00565BA5" w:rsidP="00565BA5">
      <w:pPr>
        <w:pStyle w:val="Overskrift3"/>
      </w:pPr>
      <w:r>
        <w:rPr>
          <w:rFonts w:eastAsia="Arial"/>
        </w:rPr>
        <w:t xml:space="preserve">§ 2-3. (5) Fagmiljøet tilknyttet studietilbudet skal drive forskning og/eller kunstnerisk utviklingsarbeid, og faglig utviklingsarbeid, og skal kunne vise til dokumenterte resultater med en kvalitet og et omfang som er tilfredsstillende for studietilbudets innhold og nivå. </w:t>
      </w:r>
    </w:p>
    <w:p w:rsidR="00565BA5" w:rsidRDefault="00565BA5" w:rsidP="00565BA5">
      <w:pPr>
        <w:ind w:left="-5" w:right="4"/>
      </w:pPr>
      <w:r>
        <w:t>Et omfang som står i forhold til studietilbudets nivå, innebærer for eksempel at det vil kreves større aktivitet innen forskning og/eller kunstnerisk utviklingsarbeid knyttet til et mastergradsstudium enn til et bachelorgradsstudium.</w:t>
      </w:r>
    </w:p>
    <w:p w:rsidR="00565BA5" w:rsidRDefault="00565BA5" w:rsidP="00565BA5">
      <w:pPr>
        <w:ind w:left="-5" w:right="4"/>
      </w:pPr>
      <w:r>
        <w:t xml:space="preserve">Redegjørelsen skal minst inneholde: </w:t>
      </w:r>
    </w:p>
    <w:p w:rsidR="00565BA5" w:rsidRDefault="00565BA5" w:rsidP="00565BA5">
      <w:pPr>
        <w:numPr>
          <w:ilvl w:val="0"/>
          <w:numId w:val="9"/>
        </w:numPr>
        <w:spacing w:after="47" w:line="269" w:lineRule="auto"/>
        <w:ind w:right="4" w:hanging="360"/>
      </w:pPr>
      <w:r>
        <w:t xml:space="preserve">Beskrivelse av den forskningen og/eller kunstnerisk utviklingsarbeid, og faglig utviklingsarbeid fagmiljøet utfører (og har utført de siste fem år). </w:t>
      </w:r>
    </w:p>
    <w:p w:rsidR="00565BA5" w:rsidRDefault="00565BA5" w:rsidP="00565BA5">
      <w:pPr>
        <w:numPr>
          <w:ilvl w:val="0"/>
          <w:numId w:val="9"/>
        </w:numPr>
        <w:spacing w:after="524" w:line="269" w:lineRule="auto"/>
        <w:ind w:right="4" w:hanging="360"/>
      </w:pPr>
      <w:r>
        <w:t xml:space="preserve">Begrunnelse for hvordan fagmiljøets forskning og/eller kunstnerisk utviklingsarbeid, og faglig utviklingsarbeid har en kvalitet og et omfang som er tilfredsstillende for studietilbudets innhold og nivå. </w:t>
      </w:r>
    </w:p>
    <w:p w:rsidR="00565BA5" w:rsidRDefault="00565BA5" w:rsidP="00565BA5">
      <w:pPr>
        <w:pStyle w:val="Overskrift3"/>
      </w:pPr>
      <w:r w:rsidRPr="002A0D55">
        <w:rPr>
          <w:rFonts w:eastAsia="Arial"/>
        </w:rPr>
        <w:t xml:space="preserve">§ 2-3. (6) Fagmiljøet tilknyttet studietilbud som </w:t>
      </w:r>
      <w:r w:rsidRPr="00DF4EE4">
        <w:rPr>
          <w:rFonts w:eastAsia="Arial"/>
        </w:rPr>
        <w:t>fører fram til en grad</w:t>
      </w:r>
      <w:r w:rsidRPr="002A0D55">
        <w:rPr>
          <w:rFonts w:eastAsia="Arial"/>
        </w:rPr>
        <w:t xml:space="preserve"> skal delta aktivt i nasjonale og internasjonale samarbeid og nettverk som er relevante for studietilbudet. </w:t>
      </w:r>
    </w:p>
    <w:p w:rsidR="00565BA5" w:rsidRDefault="00565BA5" w:rsidP="00565BA5">
      <w:pPr>
        <w:ind w:left="-5" w:right="4"/>
      </w:pPr>
      <w:r>
        <w:t xml:space="preserve">Redegjørelsen skal minst inneholde: </w:t>
      </w:r>
    </w:p>
    <w:p w:rsidR="00565BA5" w:rsidRDefault="00565BA5" w:rsidP="00565BA5">
      <w:pPr>
        <w:numPr>
          <w:ilvl w:val="0"/>
          <w:numId w:val="10"/>
        </w:numPr>
        <w:spacing w:after="0" w:line="269" w:lineRule="auto"/>
        <w:ind w:right="4" w:hanging="360"/>
      </w:pPr>
      <w:r>
        <w:t xml:space="preserve">Beskrivelse av hvilke nasjonale og internasjonale samarbeid fagmiljøet </w:t>
      </w:r>
      <w:r w:rsidRPr="00DF4EE4">
        <w:t>deltar aktivt i.</w:t>
      </w:r>
      <w:r>
        <w:t xml:space="preserve"> </w:t>
      </w:r>
    </w:p>
    <w:p w:rsidR="00565BA5" w:rsidRDefault="00565BA5" w:rsidP="00565BA5">
      <w:pPr>
        <w:numPr>
          <w:ilvl w:val="0"/>
          <w:numId w:val="10"/>
        </w:numPr>
        <w:spacing w:after="23" w:line="269" w:lineRule="auto"/>
        <w:ind w:right="4" w:hanging="360"/>
      </w:pPr>
      <w:r>
        <w:t xml:space="preserve">Begrunnelse for hvordan fagmiljøet deltar aktivt i nasjonale og internasjonale samarbeid og nettverk. </w:t>
      </w:r>
    </w:p>
    <w:p w:rsidR="00565BA5" w:rsidRDefault="00565BA5" w:rsidP="00565BA5">
      <w:pPr>
        <w:numPr>
          <w:ilvl w:val="0"/>
          <w:numId w:val="10"/>
        </w:numPr>
        <w:spacing w:after="170" w:line="269" w:lineRule="auto"/>
        <w:ind w:right="4" w:hanging="360"/>
      </w:pPr>
      <w:r>
        <w:t xml:space="preserve">Begrunnelse for hvorfor disse samarbeidene og nettverkene er relevante for studiet. </w:t>
      </w:r>
    </w:p>
    <w:p w:rsidR="00C86068" w:rsidRDefault="00C86068" w:rsidP="00565BA5">
      <w:pPr>
        <w:pStyle w:val="Overskrift3"/>
        <w:rPr>
          <w:rFonts w:eastAsia="Arial"/>
        </w:rPr>
      </w:pPr>
    </w:p>
    <w:p w:rsidR="00565BA5" w:rsidRDefault="00565BA5" w:rsidP="00565BA5">
      <w:pPr>
        <w:pStyle w:val="Overskrift3"/>
      </w:pPr>
      <w:r>
        <w:rPr>
          <w:rFonts w:eastAsia="Arial"/>
        </w:rPr>
        <w:t xml:space="preserve">§ 2-3. (7) For studietilbud med obligatorisk praksis </w:t>
      </w:r>
      <w:r w:rsidRPr="00DF4EE4">
        <w:rPr>
          <w:rFonts w:eastAsia="Arial"/>
          <w:shd w:val="clear" w:color="auto" w:fill="FFFFFF" w:themeFill="background1"/>
        </w:rPr>
        <w:t xml:space="preserve">skal fagmiljøet tilknyttet studietilbudet ha relevant og oppdatert kunnskap fra praksisfeltet. </w:t>
      </w:r>
      <w:r>
        <w:rPr>
          <w:rFonts w:eastAsia="Arial"/>
        </w:rPr>
        <w:t xml:space="preserve">Institusjonen må sikre at </w:t>
      </w:r>
      <w:r w:rsidRPr="00DF4EE4">
        <w:rPr>
          <w:rFonts w:eastAsia="Arial"/>
        </w:rPr>
        <w:t>praksisveilederne</w:t>
      </w:r>
      <w:r>
        <w:rPr>
          <w:rFonts w:eastAsia="Arial"/>
        </w:rPr>
        <w:t xml:space="preserve"> har relevant kompetanse, og erfaring fra praksisfeltet. </w:t>
      </w:r>
    </w:p>
    <w:p w:rsidR="00565BA5" w:rsidRDefault="00565BA5" w:rsidP="00565BA5">
      <w:pPr>
        <w:ind w:left="-5" w:right="4"/>
      </w:pPr>
      <w:r>
        <w:t xml:space="preserve">Redegjørelsen skal minst inneholde: </w:t>
      </w:r>
    </w:p>
    <w:p w:rsidR="00565BA5" w:rsidRDefault="00565BA5" w:rsidP="00565BA5">
      <w:pPr>
        <w:numPr>
          <w:ilvl w:val="0"/>
          <w:numId w:val="11"/>
        </w:numPr>
        <w:spacing w:after="20" w:line="269" w:lineRule="auto"/>
        <w:ind w:right="4" w:hanging="360"/>
      </w:pPr>
      <w:r>
        <w:t xml:space="preserve">Beskrivelse av den erfaringen og kunnskapen fagmiljøet ved søkerinstitusjonen har fra praksisfeltet og begrunnelse for hvordan denne kunnskapen holdes oppdatert. </w:t>
      </w:r>
    </w:p>
    <w:p w:rsidR="00565BA5" w:rsidRDefault="00565BA5" w:rsidP="00565BA5">
      <w:pPr>
        <w:numPr>
          <w:ilvl w:val="0"/>
          <w:numId w:val="11"/>
        </w:numPr>
        <w:spacing w:after="20" w:line="269" w:lineRule="auto"/>
        <w:ind w:right="4" w:hanging="360"/>
      </w:pPr>
      <w:r>
        <w:t xml:space="preserve">Beskrivelse av hvilken systematisk kontakt som finnes mellom fagmiljøet ved institusjonen og praksisveilederne ved praksisinstitusjon. </w:t>
      </w:r>
    </w:p>
    <w:p w:rsidR="00565BA5" w:rsidRDefault="00565BA5" w:rsidP="00565BA5">
      <w:pPr>
        <w:numPr>
          <w:ilvl w:val="0"/>
          <w:numId w:val="11"/>
        </w:numPr>
        <w:spacing w:after="20" w:line="269" w:lineRule="auto"/>
        <w:ind w:right="4" w:hanging="360"/>
      </w:pPr>
      <w:r>
        <w:t xml:space="preserve">Beskrivelse av hvilke krav institusjonen stiller til praksisveiledernes kompetanse og erfaring fra praksisfeltet. </w:t>
      </w:r>
    </w:p>
    <w:p w:rsidR="00565BA5" w:rsidRDefault="00565BA5" w:rsidP="00565BA5">
      <w:pPr>
        <w:numPr>
          <w:ilvl w:val="0"/>
          <w:numId w:val="11"/>
        </w:numPr>
        <w:spacing w:after="206" w:line="269" w:lineRule="auto"/>
        <w:ind w:right="4" w:hanging="360"/>
      </w:pPr>
      <w:r>
        <w:t xml:space="preserve">Begrunnelse for hvordan institusjonen kontinuerlig sikrer at praksisveiledernes kompetanse er relevant for studietilbudet. </w:t>
      </w:r>
    </w:p>
    <w:p w:rsidR="00C86068" w:rsidRDefault="00C86068" w:rsidP="00565BA5">
      <w:pPr>
        <w:pStyle w:val="Overskrift2"/>
      </w:pPr>
    </w:p>
    <w:p w:rsidR="00565BA5" w:rsidRDefault="00565BA5" w:rsidP="00565BA5">
      <w:pPr>
        <w:pStyle w:val="Overskrift2"/>
      </w:pPr>
      <w:r>
        <w:t>Del 4. Finansering og ressursbruk</w:t>
      </w:r>
    </w:p>
    <w:p w:rsidR="00565BA5" w:rsidRDefault="00565BA5" w:rsidP="00565BA5">
      <w:r>
        <w:t xml:space="preserve">Er det økonomisk bærekraft i studiet? De ressursmessige sidene ved etableringen av studiet må synliggjøres. </w:t>
      </w:r>
      <w:r w:rsidR="00DF4EE4">
        <w:t>Her kan relevante elementer fra utredningssøknaden tas inn.</w:t>
      </w:r>
    </w:p>
    <w:p w:rsidR="00565BA5" w:rsidRDefault="00565BA5" w:rsidP="00565BA5">
      <w:pPr>
        <w:rPr>
          <w:rFonts w:asciiTheme="majorHAnsi" w:eastAsiaTheme="majorEastAsia" w:hAnsiTheme="majorHAnsi" w:cstheme="majorBidi"/>
          <w:color w:val="2E74B5" w:themeColor="accent1" w:themeShade="BF"/>
          <w:sz w:val="26"/>
          <w:szCs w:val="26"/>
        </w:rPr>
      </w:pPr>
      <w:r>
        <w:br w:type="page"/>
      </w:r>
    </w:p>
    <w:p w:rsidR="00C86068" w:rsidRDefault="00C86068" w:rsidP="00C86068">
      <w:pPr>
        <w:pStyle w:val="Overskrift2"/>
      </w:pPr>
      <w:r>
        <w:t xml:space="preserve">Vedlegg: Tabell for fagmiljøet som bidrar med minst 0.1 årsverk i studiet </w:t>
      </w:r>
    </w:p>
    <w:p w:rsidR="00DF4EE4" w:rsidRDefault="00DF4EE4" w:rsidP="00565BA5">
      <w:pPr>
        <w:pStyle w:val="Overskrift2"/>
      </w:pPr>
    </w:p>
    <w:p w:rsidR="00DF4EE4" w:rsidRDefault="00DF4EE4" w:rsidP="00565BA5">
      <w:pPr>
        <w:pStyle w:val="Overskrift2"/>
      </w:pPr>
    </w:p>
    <w:p w:rsidR="00565BA5" w:rsidRPr="00C86068" w:rsidRDefault="00C86068" w:rsidP="00565BA5">
      <w:pPr>
        <w:pStyle w:val="Overskrift2"/>
        <w:rPr>
          <w:color w:val="auto"/>
          <w:sz w:val="24"/>
        </w:rPr>
      </w:pPr>
      <w:r>
        <w:rPr>
          <w:color w:val="auto"/>
          <w:sz w:val="24"/>
        </w:rPr>
        <w:t>Tabell: F</w:t>
      </w:r>
      <w:r w:rsidR="00565BA5" w:rsidRPr="00C86068">
        <w:rPr>
          <w:color w:val="auto"/>
          <w:sz w:val="24"/>
        </w:rPr>
        <w:t xml:space="preserve">or fagmiljøet som bidrar med minst 0.1 årsverk i studiet </w:t>
      </w:r>
    </w:p>
    <w:tbl>
      <w:tblPr>
        <w:tblStyle w:val="TableGrid"/>
        <w:tblW w:w="5000" w:type="pct"/>
        <w:tblInd w:w="0" w:type="dxa"/>
        <w:tblCellMar>
          <w:top w:w="7" w:type="dxa"/>
        </w:tblCellMar>
        <w:tblLook w:val="04A0" w:firstRow="1" w:lastRow="0" w:firstColumn="1" w:lastColumn="0" w:noHBand="0" w:noVBand="1"/>
      </w:tblPr>
      <w:tblGrid>
        <w:gridCol w:w="713"/>
        <w:gridCol w:w="1491"/>
        <w:gridCol w:w="860"/>
        <w:gridCol w:w="673"/>
        <w:gridCol w:w="554"/>
        <w:gridCol w:w="731"/>
        <w:gridCol w:w="483"/>
        <w:gridCol w:w="728"/>
        <w:gridCol w:w="1321"/>
        <w:gridCol w:w="655"/>
        <w:gridCol w:w="678"/>
        <w:gridCol w:w="180"/>
      </w:tblGrid>
      <w:tr w:rsidR="00565BA5" w:rsidTr="00DF4EE4">
        <w:trPr>
          <w:trHeight w:val="251"/>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1"/>
              <w:jc w:val="center"/>
            </w:pPr>
            <w:r>
              <w:rPr>
                <w:rFonts w:ascii="Times New Roman" w:eastAsia="Times New Roman" w:hAnsi="Times New Roman" w:cs="Times New Roman"/>
                <w:b/>
                <w:sz w:val="20"/>
              </w:rPr>
              <w:t xml:space="preserve">1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1"/>
              <w:jc w:val="center"/>
            </w:pPr>
            <w:r>
              <w:rPr>
                <w:rFonts w:ascii="Times New Roman" w:eastAsia="Times New Roman" w:hAnsi="Times New Roman" w:cs="Times New Roman"/>
                <w:b/>
                <w:sz w:val="20"/>
              </w:rPr>
              <w:t xml:space="preserve">2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8"/>
              <w:jc w:val="center"/>
            </w:pPr>
            <w:r>
              <w:rPr>
                <w:rFonts w:ascii="Times New Roman" w:eastAsia="Times New Roman" w:hAnsi="Times New Roman" w:cs="Times New Roman"/>
                <w:b/>
                <w:sz w:val="20"/>
              </w:rPr>
              <w:t xml:space="preserve">3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5"/>
              <w:jc w:val="center"/>
            </w:pPr>
            <w:r>
              <w:rPr>
                <w:rFonts w:ascii="Times New Roman" w:eastAsia="Times New Roman" w:hAnsi="Times New Roman" w:cs="Times New Roman"/>
                <w:b/>
                <w:sz w:val="20"/>
              </w:rPr>
              <w:t xml:space="preserve">4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
              <w:jc w:val="center"/>
            </w:pPr>
            <w:r>
              <w:rPr>
                <w:rFonts w:ascii="Times New Roman" w:eastAsia="Times New Roman" w:hAnsi="Times New Roman" w:cs="Times New Roman"/>
                <w:b/>
                <w:sz w:val="20"/>
              </w:rPr>
              <w:t xml:space="preserve">5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
              <w:jc w:val="center"/>
            </w:pPr>
            <w:r>
              <w:rPr>
                <w:rFonts w:ascii="Times New Roman" w:eastAsia="Times New Roman" w:hAnsi="Times New Roman" w:cs="Times New Roman"/>
                <w:b/>
                <w:sz w:val="20"/>
              </w:rPr>
              <w:t xml:space="preserve">6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jc w:val="center"/>
            </w:pPr>
            <w:r>
              <w:rPr>
                <w:rFonts w:ascii="Times New Roman" w:eastAsia="Times New Roman" w:hAnsi="Times New Roman" w:cs="Times New Roman"/>
                <w:b/>
                <w:sz w:val="20"/>
              </w:rPr>
              <w:t xml:space="preserve">7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
              <w:jc w:val="center"/>
            </w:pPr>
            <w:r>
              <w:rPr>
                <w:rFonts w:ascii="Times New Roman" w:eastAsia="Times New Roman" w:hAnsi="Times New Roman" w:cs="Times New Roman"/>
                <w:b/>
                <w:sz w:val="20"/>
              </w:rPr>
              <w:t xml:space="preserve">8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4"/>
              <w:jc w:val="center"/>
            </w:pPr>
            <w:r>
              <w:rPr>
                <w:rFonts w:ascii="Times New Roman" w:eastAsia="Times New Roman" w:hAnsi="Times New Roman" w:cs="Times New Roman"/>
                <w:b/>
                <w:sz w:val="20"/>
              </w:rPr>
              <w:t xml:space="preserve">9 </w:t>
            </w:r>
          </w:p>
        </w:tc>
        <w:tc>
          <w:tcPr>
            <w:tcW w:w="735" w:type="pct"/>
            <w:gridSpan w:val="2"/>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1"/>
              <w:jc w:val="center"/>
            </w:pPr>
            <w:r>
              <w:rPr>
                <w:rFonts w:ascii="Times New Roman" w:eastAsia="Times New Roman" w:hAnsi="Times New Roman" w:cs="Times New Roman"/>
                <w:b/>
                <w:sz w:val="20"/>
              </w:rPr>
              <w:t xml:space="preserve">10 </w:t>
            </w:r>
          </w:p>
        </w:tc>
        <w:tc>
          <w:tcPr>
            <w:tcW w:w="99" w:type="pct"/>
            <w:vMerge w:val="restart"/>
            <w:tcBorders>
              <w:top w:val="nil"/>
              <w:left w:val="single" w:sz="4" w:space="0" w:color="000000"/>
              <w:bottom w:val="single" w:sz="4" w:space="0" w:color="000000"/>
              <w:right w:val="nil"/>
            </w:tcBorders>
          </w:tcPr>
          <w:p w:rsidR="00565BA5" w:rsidRDefault="00565BA5" w:rsidP="001A538E">
            <w:pPr>
              <w:spacing w:after="160" w:line="259" w:lineRule="auto"/>
            </w:pPr>
          </w:p>
        </w:tc>
      </w:tr>
      <w:tr w:rsidR="00565BA5" w:rsidTr="00DF4EE4">
        <w:trPr>
          <w:trHeight w:val="1183"/>
        </w:trPr>
        <w:tc>
          <w:tcPr>
            <w:tcW w:w="393" w:type="pct"/>
            <w:vMerge w:val="restar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8" w:right="35"/>
              <w:jc w:val="center"/>
            </w:pPr>
            <w:r>
              <w:rPr>
                <w:rFonts w:ascii="Times New Roman" w:eastAsia="Times New Roman" w:hAnsi="Times New Roman" w:cs="Times New Roman"/>
                <w:b/>
                <w:sz w:val="18"/>
              </w:rPr>
              <w:t xml:space="preserve">Ansatte som bidrar faglig </w:t>
            </w:r>
          </w:p>
        </w:tc>
        <w:tc>
          <w:tcPr>
            <w:tcW w:w="822" w:type="pct"/>
            <w:vMerge w:val="restar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jc w:val="both"/>
            </w:pPr>
            <w:r>
              <w:rPr>
                <w:rFonts w:ascii="Times New Roman" w:eastAsia="Times New Roman" w:hAnsi="Times New Roman" w:cs="Times New Roman"/>
                <w:b/>
                <w:sz w:val="18"/>
              </w:rPr>
              <w:t xml:space="preserve">Stillingsbetegnelse </w:t>
            </w:r>
          </w:p>
          <w:p w:rsidR="00565BA5" w:rsidRDefault="00565BA5" w:rsidP="001A538E">
            <w:pPr>
              <w:spacing w:line="259" w:lineRule="auto"/>
              <w:ind w:right="2"/>
              <w:jc w:val="center"/>
            </w:pPr>
            <w:r>
              <w:rPr>
                <w:sz w:val="12"/>
              </w:rPr>
              <w:t>1</w:t>
            </w:r>
            <w:r>
              <w:rPr>
                <w:rFonts w:ascii="Times New Roman" w:eastAsia="Times New Roman" w:hAnsi="Times New Roman" w:cs="Times New Roman"/>
                <w:b/>
                <w:sz w:val="18"/>
              </w:rPr>
              <w:t xml:space="preserve"> </w:t>
            </w:r>
          </w:p>
        </w:tc>
        <w:tc>
          <w:tcPr>
            <w:tcW w:w="474" w:type="pct"/>
            <w:vMerge w:val="restart"/>
            <w:tcBorders>
              <w:top w:val="single" w:sz="4" w:space="0" w:color="000000"/>
              <w:left w:val="single" w:sz="4" w:space="0" w:color="000000"/>
              <w:bottom w:val="single" w:sz="4" w:space="0" w:color="000000"/>
              <w:right w:val="single" w:sz="4" w:space="0" w:color="000000"/>
            </w:tcBorders>
          </w:tcPr>
          <w:p w:rsidR="00565BA5" w:rsidRDefault="00565BA5" w:rsidP="001A538E">
            <w:pPr>
              <w:spacing w:after="38" w:line="216" w:lineRule="auto"/>
              <w:jc w:val="center"/>
            </w:pPr>
            <w:r>
              <w:rPr>
                <w:rFonts w:ascii="Times New Roman" w:eastAsia="Times New Roman" w:hAnsi="Times New Roman" w:cs="Times New Roman"/>
                <w:b/>
                <w:sz w:val="18"/>
              </w:rPr>
              <w:t>Ansettelses forhold</w:t>
            </w:r>
            <w:r>
              <w:rPr>
                <w:rFonts w:ascii="Times New Roman" w:eastAsia="Times New Roman" w:hAnsi="Times New Roman" w:cs="Times New Roman"/>
                <w:b/>
                <w:sz w:val="18"/>
                <w:vertAlign w:val="superscript"/>
              </w:rPr>
              <w:t xml:space="preserve">  </w:t>
            </w:r>
          </w:p>
          <w:p w:rsidR="00565BA5" w:rsidRDefault="00565BA5" w:rsidP="001A538E">
            <w:pPr>
              <w:spacing w:line="259" w:lineRule="auto"/>
              <w:ind w:right="3"/>
              <w:jc w:val="center"/>
            </w:pPr>
            <w:r>
              <w:rPr>
                <w:rFonts w:ascii="Times New Roman" w:eastAsia="Times New Roman" w:hAnsi="Times New Roman" w:cs="Times New Roman"/>
                <w:b/>
                <w:sz w:val="12"/>
              </w:rPr>
              <w:t>2</w:t>
            </w:r>
            <w:r>
              <w:rPr>
                <w:rFonts w:ascii="Times New Roman" w:eastAsia="Times New Roman" w:hAnsi="Times New Roman" w:cs="Times New Roman"/>
                <w:b/>
                <w:sz w:val="18"/>
              </w:rPr>
              <w:t xml:space="preserve"> </w:t>
            </w:r>
          </w:p>
        </w:tc>
        <w:tc>
          <w:tcPr>
            <w:tcW w:w="1346" w:type="pct"/>
            <w:gridSpan w:val="4"/>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4"/>
              <w:jc w:val="center"/>
            </w:pPr>
            <w:r>
              <w:rPr>
                <w:rFonts w:ascii="Times New Roman" w:eastAsia="Times New Roman" w:hAnsi="Times New Roman" w:cs="Times New Roman"/>
                <w:b/>
                <w:sz w:val="18"/>
              </w:rPr>
              <w:t xml:space="preserve">Faglige årsverk i studiet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38" w:lineRule="auto"/>
              <w:jc w:val="center"/>
            </w:pPr>
            <w:r>
              <w:rPr>
                <w:rFonts w:ascii="Times New Roman" w:eastAsia="Times New Roman" w:hAnsi="Times New Roman" w:cs="Times New Roman"/>
                <w:b/>
                <w:sz w:val="18"/>
              </w:rPr>
              <w:t xml:space="preserve">Årsverk i andre </w:t>
            </w:r>
          </w:p>
          <w:p w:rsidR="00565BA5" w:rsidRDefault="00565BA5" w:rsidP="001A538E">
            <w:pPr>
              <w:spacing w:line="238" w:lineRule="auto"/>
              <w:ind w:left="76" w:right="30"/>
              <w:jc w:val="center"/>
            </w:pPr>
            <w:r>
              <w:rPr>
                <w:rFonts w:ascii="Times New Roman" w:eastAsia="Times New Roman" w:hAnsi="Times New Roman" w:cs="Times New Roman"/>
                <w:b/>
                <w:sz w:val="18"/>
              </w:rPr>
              <w:t xml:space="preserve">studier </w:t>
            </w:r>
            <w:r>
              <w:rPr>
                <w:rFonts w:ascii="Times New Roman" w:eastAsia="Times New Roman" w:hAnsi="Times New Roman" w:cs="Times New Roman"/>
                <w:b/>
                <w:sz w:val="16"/>
              </w:rPr>
              <w:t xml:space="preserve">oppgi </w:t>
            </w:r>
          </w:p>
          <w:p w:rsidR="00565BA5" w:rsidRDefault="00565BA5" w:rsidP="001A538E">
            <w:pPr>
              <w:spacing w:line="259" w:lineRule="auto"/>
              <w:ind w:left="164" w:hanging="7"/>
              <w:jc w:val="both"/>
            </w:pPr>
            <w:r>
              <w:rPr>
                <w:rFonts w:ascii="Times New Roman" w:eastAsia="Times New Roman" w:hAnsi="Times New Roman" w:cs="Times New Roman"/>
                <w:b/>
                <w:sz w:val="16"/>
              </w:rPr>
              <w:t>studium og inst. Navn</w:t>
            </w:r>
            <w:r>
              <w:rPr>
                <w:rFonts w:ascii="Times New Roman" w:eastAsia="Times New Roman" w:hAnsi="Times New Roman" w:cs="Times New Roman"/>
                <w:b/>
                <w:sz w:val="16"/>
                <w:vertAlign w:val="superscript"/>
              </w:rPr>
              <w:t xml:space="preserve">4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5"/>
              <w:jc w:val="center"/>
            </w:pPr>
            <w:r>
              <w:rPr>
                <w:rFonts w:ascii="Times New Roman" w:eastAsia="Times New Roman" w:hAnsi="Times New Roman" w:cs="Times New Roman"/>
                <w:b/>
                <w:sz w:val="18"/>
              </w:rPr>
              <w:t>Undervisnings-</w:t>
            </w:r>
          </w:p>
          <w:p w:rsidR="00565BA5" w:rsidRDefault="00565BA5" w:rsidP="001A538E">
            <w:pPr>
              <w:spacing w:line="259" w:lineRule="auto"/>
              <w:ind w:left="191" w:right="149"/>
              <w:jc w:val="center"/>
            </w:pPr>
            <w:r>
              <w:rPr>
                <w:rFonts w:ascii="Times New Roman" w:eastAsia="Times New Roman" w:hAnsi="Times New Roman" w:cs="Times New Roman"/>
                <w:b/>
                <w:sz w:val="18"/>
              </w:rPr>
              <w:t xml:space="preserve">/veilednings- område i studiet </w:t>
            </w:r>
          </w:p>
        </w:tc>
        <w:tc>
          <w:tcPr>
            <w:tcW w:w="735" w:type="pct"/>
            <w:gridSpan w:val="2"/>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58" w:right="15"/>
              <w:jc w:val="center"/>
            </w:pPr>
            <w:r>
              <w:rPr>
                <w:rFonts w:ascii="Times New Roman" w:eastAsia="Times New Roman" w:hAnsi="Times New Roman" w:cs="Times New Roman"/>
                <w:b/>
                <w:sz w:val="18"/>
              </w:rPr>
              <w:t>Ekstern praksiserfaring</w:t>
            </w:r>
            <w:r>
              <w:rPr>
                <w:rFonts w:ascii="Times New Roman" w:eastAsia="Times New Roman" w:hAnsi="Times New Roman" w:cs="Times New Roman"/>
                <w:b/>
                <w:sz w:val="18"/>
                <w:vertAlign w:val="superscript"/>
              </w:rPr>
              <w:t>6</w:t>
            </w:r>
            <w:r>
              <w:rPr>
                <w:rFonts w:ascii="Times New Roman" w:eastAsia="Times New Roman" w:hAnsi="Times New Roman" w:cs="Times New Roman"/>
                <w:b/>
                <w:sz w:val="18"/>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301"/>
        </w:trPr>
        <w:tc>
          <w:tcPr>
            <w:tcW w:w="393" w:type="pct"/>
            <w:vMerge/>
            <w:tcBorders>
              <w:top w:val="nil"/>
              <w:left w:val="single" w:sz="4" w:space="0" w:color="000000"/>
              <w:bottom w:val="single" w:sz="4" w:space="0" w:color="000000"/>
              <w:right w:val="single" w:sz="4" w:space="0" w:color="000000"/>
            </w:tcBorders>
          </w:tcPr>
          <w:p w:rsidR="00565BA5" w:rsidRDefault="00565BA5" w:rsidP="001A538E">
            <w:pPr>
              <w:spacing w:after="160" w:line="259" w:lineRule="auto"/>
            </w:pPr>
          </w:p>
        </w:tc>
        <w:tc>
          <w:tcPr>
            <w:tcW w:w="822" w:type="pct"/>
            <w:vMerge/>
            <w:tcBorders>
              <w:top w:val="nil"/>
              <w:left w:val="single" w:sz="4" w:space="0" w:color="000000"/>
              <w:bottom w:val="single" w:sz="4" w:space="0" w:color="000000"/>
              <w:right w:val="single" w:sz="4" w:space="0" w:color="000000"/>
            </w:tcBorders>
          </w:tcPr>
          <w:p w:rsidR="00565BA5" w:rsidRDefault="00565BA5" w:rsidP="001A538E">
            <w:pPr>
              <w:spacing w:after="160" w:line="259" w:lineRule="auto"/>
            </w:pPr>
          </w:p>
        </w:tc>
        <w:tc>
          <w:tcPr>
            <w:tcW w:w="474" w:type="pct"/>
            <w:vMerge/>
            <w:tcBorders>
              <w:top w:val="nil"/>
              <w:left w:val="single" w:sz="4" w:space="0" w:color="000000"/>
              <w:bottom w:val="single" w:sz="4" w:space="0" w:color="000000"/>
              <w:right w:val="single" w:sz="4" w:space="0" w:color="000000"/>
            </w:tcBorders>
          </w:tcPr>
          <w:p w:rsidR="00565BA5" w:rsidRDefault="00565BA5" w:rsidP="001A538E">
            <w:pPr>
              <w:spacing w:after="160" w:line="259" w:lineRule="auto"/>
            </w:pP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6"/>
              <w:jc w:val="center"/>
            </w:pPr>
            <w:r>
              <w:rPr>
                <w:rFonts w:ascii="Times New Roman" w:eastAsia="Times New Roman" w:hAnsi="Times New Roman" w:cs="Times New Roman"/>
                <w:b/>
                <w:sz w:val="18"/>
              </w:rPr>
              <w:t>Total</w:t>
            </w:r>
            <w:r>
              <w:rPr>
                <w:rFonts w:ascii="Times New Roman" w:eastAsia="Times New Roman" w:hAnsi="Times New Roman" w:cs="Times New Roman"/>
                <w:b/>
                <w:sz w:val="18"/>
                <w:vertAlign w:val="superscript"/>
              </w:rPr>
              <w:t>3</w:t>
            </w:r>
            <w:r>
              <w:rPr>
                <w:rFonts w:ascii="Times New Roman" w:eastAsia="Times New Roman" w:hAnsi="Times New Roman" w:cs="Times New Roman"/>
                <w:b/>
                <w:sz w:val="18"/>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left="134"/>
            </w:pPr>
            <w:r>
              <w:rPr>
                <w:rFonts w:ascii="Times New Roman" w:eastAsia="Times New Roman" w:hAnsi="Times New Roman" w:cs="Times New Roman"/>
                <w:b/>
                <w:sz w:val="18"/>
              </w:rPr>
              <w:t xml:space="preserve">U&amp;V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left="71"/>
              <w:jc w:val="both"/>
            </w:pPr>
            <w:r>
              <w:rPr>
                <w:rFonts w:ascii="Times New Roman" w:eastAsia="Times New Roman" w:hAnsi="Times New Roman" w:cs="Times New Roman"/>
                <w:b/>
                <w:sz w:val="18"/>
              </w:rPr>
              <w:t xml:space="preserve">FoU/KU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
              <w:jc w:val="center"/>
            </w:pPr>
            <w:r>
              <w:rPr>
                <w:rFonts w:ascii="Times New Roman" w:eastAsia="Times New Roman" w:hAnsi="Times New Roman" w:cs="Times New Roman"/>
                <w:b/>
                <w:sz w:val="18"/>
              </w:rPr>
              <w:t xml:space="preserve">Annet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44"/>
              <w:jc w:val="center"/>
            </w:pPr>
            <w:r>
              <w:rPr>
                <w:rFonts w:ascii="Times New Roman" w:eastAsia="Times New Roman" w:hAnsi="Times New Roman" w:cs="Times New Roman"/>
                <w:b/>
                <w:sz w:val="18"/>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42"/>
              <w:jc w:val="center"/>
            </w:pPr>
            <w:r>
              <w:rPr>
                <w:sz w:val="18"/>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137"/>
            </w:pPr>
            <w:r>
              <w:rPr>
                <w:rFonts w:ascii="Times New Roman" w:eastAsia="Times New Roman" w:hAnsi="Times New Roman" w:cs="Times New Roman"/>
                <w:b/>
                <w:sz w:val="18"/>
              </w:rPr>
              <w:t xml:space="preserve">Antall år </w:t>
            </w:r>
            <w:r>
              <w:rPr>
                <w:sz w:val="18"/>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rFonts w:ascii="Times New Roman" w:eastAsia="Times New Roman" w:hAnsi="Times New Roman" w:cs="Times New Roman"/>
                <w:b/>
                <w:sz w:val="18"/>
              </w:rPr>
              <w:t xml:space="preserve">Årstall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rFonts w:ascii="Times New Roman" w:eastAsia="Times New Roman" w:hAnsi="Times New Roman" w:cs="Times New Roman"/>
                <w:i/>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left="46"/>
              <w:jc w:val="center"/>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rFonts w:ascii="Times New Roman" w:eastAsia="Times New Roman" w:hAnsi="Times New Roman" w:cs="Times New Roman"/>
                <w:i/>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rFonts w:ascii="Times New Roman" w:eastAsia="Times New Roman" w:hAnsi="Times New Roman" w:cs="Times New Roman"/>
                <w:i/>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nil"/>
              <w:right w:val="nil"/>
            </w:tcBorders>
          </w:tcPr>
          <w:p w:rsidR="00565BA5" w:rsidRDefault="00565BA5" w:rsidP="001A538E">
            <w:pPr>
              <w:spacing w:after="160" w:line="259" w:lineRule="auto"/>
            </w:pPr>
          </w:p>
        </w:tc>
      </w:tr>
      <w:tr w:rsidR="00565BA5" w:rsidTr="00DF4EE4">
        <w:trPr>
          <w:trHeight w:val="240"/>
        </w:trPr>
        <w:tc>
          <w:tcPr>
            <w:tcW w:w="393"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left="70"/>
            </w:pPr>
            <w:r>
              <w:rPr>
                <w:rFonts w:ascii="Times New Roman" w:eastAsia="Times New Roman" w:hAnsi="Times New Roman" w:cs="Times New Roman"/>
                <w:i/>
                <w:sz w:val="20"/>
              </w:rPr>
              <w:t xml:space="preserve"> </w:t>
            </w:r>
          </w:p>
        </w:tc>
        <w:tc>
          <w:tcPr>
            <w:tcW w:w="822"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4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3"/>
              <w:jc w:val="right"/>
            </w:pPr>
            <w:r>
              <w:rPr>
                <w:sz w:val="20"/>
              </w:rPr>
              <w:t xml:space="preserve">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36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374"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2"/>
              <w:jc w:val="right"/>
            </w:pPr>
            <w:r>
              <w:rPr>
                <w:sz w:val="20"/>
              </w:rPr>
              <w:t xml:space="preserve"> </w:t>
            </w:r>
          </w:p>
        </w:tc>
        <w:tc>
          <w:tcPr>
            <w:tcW w:w="99" w:type="pct"/>
            <w:vMerge/>
            <w:tcBorders>
              <w:top w:val="nil"/>
              <w:left w:val="single" w:sz="4" w:space="0" w:color="000000"/>
              <w:bottom w:val="single" w:sz="4" w:space="0" w:color="000000"/>
              <w:right w:val="nil"/>
            </w:tcBorders>
          </w:tcPr>
          <w:p w:rsidR="00565BA5" w:rsidRDefault="00565BA5" w:rsidP="001A538E">
            <w:pPr>
              <w:spacing w:after="160" w:line="259" w:lineRule="auto"/>
            </w:pPr>
          </w:p>
        </w:tc>
      </w:tr>
      <w:tr w:rsidR="00565BA5" w:rsidTr="00DF4EE4">
        <w:trPr>
          <w:trHeight w:val="239"/>
        </w:trPr>
        <w:tc>
          <w:tcPr>
            <w:tcW w:w="393" w:type="pct"/>
            <w:tcBorders>
              <w:top w:val="single" w:sz="4" w:space="0" w:color="000000"/>
              <w:left w:val="nil"/>
              <w:bottom w:val="nil"/>
              <w:right w:val="nil"/>
            </w:tcBorders>
          </w:tcPr>
          <w:p w:rsidR="00565BA5" w:rsidRDefault="00565BA5" w:rsidP="001A538E">
            <w:pPr>
              <w:spacing w:after="160" w:line="259" w:lineRule="auto"/>
            </w:pPr>
          </w:p>
        </w:tc>
        <w:tc>
          <w:tcPr>
            <w:tcW w:w="1296" w:type="pct"/>
            <w:gridSpan w:val="2"/>
            <w:tcBorders>
              <w:top w:val="single" w:sz="4" w:space="0" w:color="000000"/>
              <w:left w:val="nil"/>
              <w:bottom w:val="nil"/>
              <w:right w:val="single" w:sz="4" w:space="0" w:color="000000"/>
            </w:tcBorders>
          </w:tcPr>
          <w:p w:rsidR="00565BA5" w:rsidRDefault="00565BA5" w:rsidP="001A538E">
            <w:pPr>
              <w:spacing w:line="259" w:lineRule="auto"/>
              <w:ind w:right="74"/>
              <w:jc w:val="right"/>
            </w:pPr>
            <w:r>
              <w:rPr>
                <w:sz w:val="20"/>
              </w:rPr>
              <w:t xml:space="preserve">SUM </w:t>
            </w:r>
          </w:p>
        </w:tc>
        <w:tc>
          <w:tcPr>
            <w:tcW w:w="371"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left="-23"/>
              <w:jc w:val="both"/>
            </w:pPr>
            <w:r>
              <w:rPr>
                <w:sz w:val="20"/>
              </w:rPr>
              <w:t xml:space="preserve"> </w:t>
            </w:r>
            <w:r>
              <w:rPr>
                <w:sz w:val="20"/>
              </w:rPr>
              <w:tab/>
              <w:t xml:space="preserve"> </w:t>
            </w:r>
          </w:p>
        </w:tc>
        <w:tc>
          <w:tcPr>
            <w:tcW w:w="30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1"/>
              <w:jc w:val="right"/>
            </w:pPr>
            <w:r>
              <w:rPr>
                <w:sz w:val="20"/>
              </w:rPr>
              <w:t xml:space="preserve"> </w:t>
            </w:r>
          </w:p>
        </w:tc>
        <w:tc>
          <w:tcPr>
            <w:tcW w:w="403"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20"/>
              <w:jc w:val="right"/>
            </w:pPr>
            <w:r>
              <w:rPr>
                <w:sz w:val="20"/>
              </w:rPr>
              <w:t xml:space="preserve"> </w:t>
            </w:r>
          </w:p>
        </w:tc>
        <w:tc>
          <w:tcPr>
            <w:tcW w:w="266" w:type="pct"/>
            <w:tcBorders>
              <w:top w:val="single" w:sz="4" w:space="0" w:color="000000"/>
              <w:left w:val="single" w:sz="4" w:space="0" w:color="000000"/>
              <w:bottom w:val="single" w:sz="4" w:space="0" w:color="000000"/>
              <w:right w:val="single" w:sz="4" w:space="0" w:color="000000"/>
            </w:tcBorders>
            <w:shd w:val="clear" w:color="auto" w:fill="CCCCCC"/>
          </w:tcPr>
          <w:p w:rsidR="00565BA5" w:rsidRDefault="00565BA5" w:rsidP="001A538E">
            <w:pPr>
              <w:spacing w:line="259" w:lineRule="auto"/>
              <w:ind w:right="19"/>
              <w:jc w:val="right"/>
            </w:pPr>
            <w:r>
              <w:rPr>
                <w:sz w:val="20"/>
              </w:rPr>
              <w:t xml:space="preserve"> </w:t>
            </w:r>
          </w:p>
        </w:tc>
        <w:tc>
          <w:tcPr>
            <w:tcW w:w="401" w:type="pct"/>
            <w:tcBorders>
              <w:top w:val="single" w:sz="4" w:space="0" w:color="000000"/>
              <w:left w:val="single" w:sz="4" w:space="0" w:color="000000"/>
              <w:bottom w:val="single" w:sz="4" w:space="0" w:color="000000"/>
              <w:right w:val="single" w:sz="4" w:space="0" w:color="000000"/>
            </w:tcBorders>
          </w:tcPr>
          <w:p w:rsidR="00565BA5" w:rsidRDefault="00565BA5" w:rsidP="001A538E">
            <w:pPr>
              <w:spacing w:line="259" w:lineRule="auto"/>
              <w:ind w:right="20"/>
              <w:jc w:val="right"/>
            </w:pPr>
            <w:r>
              <w:rPr>
                <w:sz w:val="20"/>
              </w:rPr>
              <w:t xml:space="preserve"> </w:t>
            </w:r>
          </w:p>
        </w:tc>
        <w:tc>
          <w:tcPr>
            <w:tcW w:w="728" w:type="pct"/>
            <w:tcBorders>
              <w:top w:val="single" w:sz="4" w:space="0" w:color="000000"/>
              <w:left w:val="single" w:sz="4" w:space="0" w:color="000000"/>
              <w:bottom w:val="nil"/>
              <w:right w:val="nil"/>
            </w:tcBorders>
          </w:tcPr>
          <w:p w:rsidR="00565BA5" w:rsidRDefault="00565BA5" w:rsidP="001A538E">
            <w:pPr>
              <w:spacing w:after="160" w:line="259" w:lineRule="auto"/>
            </w:pPr>
          </w:p>
        </w:tc>
        <w:tc>
          <w:tcPr>
            <w:tcW w:w="834" w:type="pct"/>
            <w:gridSpan w:val="3"/>
            <w:tcBorders>
              <w:top w:val="single" w:sz="4" w:space="0" w:color="000000"/>
              <w:left w:val="nil"/>
              <w:bottom w:val="nil"/>
              <w:right w:val="nil"/>
            </w:tcBorders>
          </w:tcPr>
          <w:p w:rsidR="00565BA5" w:rsidRDefault="00565BA5" w:rsidP="001A538E">
            <w:pPr>
              <w:spacing w:line="259" w:lineRule="auto"/>
              <w:ind w:left="637"/>
              <w:jc w:val="center"/>
            </w:pPr>
            <w:r>
              <w:rPr>
                <w:sz w:val="20"/>
              </w:rPr>
              <w:t xml:space="preserve"> </w:t>
            </w:r>
            <w:r>
              <w:rPr>
                <w:sz w:val="20"/>
              </w:rPr>
              <w:tab/>
              <w:t xml:space="preserve"> </w:t>
            </w:r>
          </w:p>
        </w:tc>
      </w:tr>
    </w:tbl>
    <w:p w:rsidR="00565BA5" w:rsidRPr="000066A3" w:rsidRDefault="00565BA5" w:rsidP="00565BA5">
      <w:pPr>
        <w:pStyle w:val="Merknadstekst"/>
      </w:pPr>
    </w:p>
    <w:p w:rsidR="00565BA5" w:rsidRDefault="00565BA5" w:rsidP="00565BA5">
      <w:pPr>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D20FBC" w:rsidRDefault="00D20FBC" w:rsidP="00565BA5">
      <w:pPr>
        <w:rPr>
          <w:rFonts w:ascii="Times New Roman" w:eastAsia="Times New Roman" w:hAnsi="Times New Roman" w:cs="Times New Roman"/>
          <w:sz w:val="18"/>
        </w:rPr>
      </w:pPr>
    </w:p>
    <w:p w:rsidR="00D20FBC" w:rsidRDefault="00D20FBC" w:rsidP="00565BA5">
      <w:pPr>
        <w:rPr>
          <w:rFonts w:ascii="Times New Roman" w:eastAsia="Times New Roman" w:hAnsi="Times New Roman" w:cs="Times New Roman"/>
          <w:sz w:val="18"/>
        </w:rPr>
      </w:pPr>
    </w:p>
    <w:p w:rsidR="00D20FBC" w:rsidRDefault="00D20FBC" w:rsidP="00565BA5">
      <w:pPr>
        <w:rPr>
          <w:rFonts w:ascii="Times New Roman" w:eastAsia="Times New Roman" w:hAnsi="Times New Roman" w:cs="Times New Roman"/>
          <w:sz w:val="18"/>
        </w:rPr>
      </w:pPr>
    </w:p>
    <w:p w:rsidR="00D20FBC" w:rsidRDefault="00D20FBC" w:rsidP="00565BA5">
      <w:pPr>
        <w:rPr>
          <w:rFonts w:ascii="Times New Roman" w:eastAsia="Times New Roman" w:hAnsi="Times New Roman" w:cs="Times New Roman"/>
          <w:sz w:val="18"/>
        </w:rPr>
      </w:pPr>
    </w:p>
    <w:p w:rsidR="00D20FBC" w:rsidRDefault="00D20FBC" w:rsidP="00565BA5">
      <w:pPr>
        <w:rPr>
          <w:rFonts w:ascii="Times New Roman" w:eastAsia="Times New Roman" w:hAnsi="Times New Roman" w:cs="Times New Roman"/>
          <w:sz w:val="18"/>
        </w:rPr>
      </w:pPr>
    </w:p>
    <w:p w:rsidR="00565BA5" w:rsidRDefault="00565BA5" w:rsidP="00565BA5"/>
    <w:p w:rsidR="00473501" w:rsidRDefault="00473501"/>
    <w:p w:rsidR="00D20FBC" w:rsidRPr="00D20FBC" w:rsidRDefault="00D20FBC">
      <w:pPr>
        <w:rPr>
          <w:rFonts w:ascii="Times New Roman" w:hAnsi="Times New Roman" w:cs="Times New Roman"/>
          <w:b/>
          <w:sz w:val="24"/>
          <w:szCs w:val="24"/>
        </w:rPr>
      </w:pPr>
      <w:r w:rsidRPr="00D20FBC">
        <w:rPr>
          <w:rFonts w:ascii="Times New Roman" w:hAnsi="Times New Roman" w:cs="Times New Roman"/>
          <w:b/>
          <w:sz w:val="24"/>
          <w:szCs w:val="24"/>
        </w:rPr>
        <w:t>Dokumenthistorikk:</w:t>
      </w:r>
    </w:p>
    <w:tbl>
      <w:tblPr>
        <w:tblStyle w:val="Tabellrutenett1"/>
        <w:tblW w:w="9322" w:type="dxa"/>
        <w:tblLook w:val="04A0" w:firstRow="1" w:lastRow="0" w:firstColumn="1" w:lastColumn="0" w:noHBand="0" w:noVBand="1"/>
      </w:tblPr>
      <w:tblGrid>
        <w:gridCol w:w="1413"/>
        <w:gridCol w:w="2268"/>
        <w:gridCol w:w="1134"/>
        <w:gridCol w:w="2693"/>
        <w:gridCol w:w="1814"/>
      </w:tblGrid>
      <w:tr w:rsidR="00D20FBC" w:rsidRPr="00D20FBC" w:rsidTr="00BA03BF">
        <w:trPr>
          <w:trHeight w:val="364"/>
        </w:trPr>
        <w:tc>
          <w:tcPr>
            <w:tcW w:w="1413" w:type="dxa"/>
          </w:tcPr>
          <w:p w:rsidR="00D20FBC" w:rsidRPr="00D20FBC" w:rsidRDefault="00D20FBC" w:rsidP="00D20FBC">
            <w:pPr>
              <w:spacing w:line="259" w:lineRule="auto"/>
              <w:rPr>
                <w:rFonts w:ascii="Times New Roman" w:hAnsi="Times New Roman"/>
              </w:rPr>
            </w:pPr>
            <w:r w:rsidRPr="00D20FBC">
              <w:rPr>
                <w:rFonts w:ascii="Times New Roman" w:hAnsi="Times New Roman"/>
              </w:rPr>
              <w:t>Versjonsnr:</w:t>
            </w:r>
          </w:p>
        </w:tc>
        <w:tc>
          <w:tcPr>
            <w:tcW w:w="2268" w:type="dxa"/>
          </w:tcPr>
          <w:p w:rsidR="00D20FBC" w:rsidRPr="00D20FBC" w:rsidRDefault="00D20FBC" w:rsidP="00D20FBC">
            <w:pPr>
              <w:spacing w:line="259" w:lineRule="auto"/>
              <w:rPr>
                <w:rFonts w:ascii="Times New Roman" w:hAnsi="Times New Roman"/>
              </w:rPr>
            </w:pPr>
            <w:r w:rsidRPr="00D20FBC">
              <w:rPr>
                <w:rFonts w:ascii="Times New Roman" w:hAnsi="Times New Roman"/>
              </w:rPr>
              <w:t>Forfatter:</w:t>
            </w:r>
          </w:p>
        </w:tc>
        <w:tc>
          <w:tcPr>
            <w:tcW w:w="1134" w:type="dxa"/>
          </w:tcPr>
          <w:p w:rsidR="00D20FBC" w:rsidRPr="00D20FBC" w:rsidRDefault="00D20FBC" w:rsidP="00D20FBC">
            <w:pPr>
              <w:spacing w:line="259" w:lineRule="auto"/>
              <w:rPr>
                <w:rFonts w:ascii="Times New Roman" w:hAnsi="Times New Roman"/>
              </w:rPr>
            </w:pPr>
            <w:r w:rsidRPr="00D20FBC">
              <w:rPr>
                <w:rFonts w:ascii="Times New Roman" w:hAnsi="Times New Roman"/>
              </w:rPr>
              <w:t>Dato:</w:t>
            </w:r>
          </w:p>
        </w:tc>
        <w:tc>
          <w:tcPr>
            <w:tcW w:w="2693" w:type="dxa"/>
          </w:tcPr>
          <w:p w:rsidR="00D20FBC" w:rsidRPr="00D20FBC" w:rsidRDefault="00D20FBC" w:rsidP="00D20FBC">
            <w:pPr>
              <w:spacing w:line="259" w:lineRule="auto"/>
              <w:rPr>
                <w:rFonts w:ascii="Times New Roman" w:hAnsi="Times New Roman"/>
              </w:rPr>
            </w:pPr>
            <w:r w:rsidRPr="00D20FBC">
              <w:rPr>
                <w:rFonts w:ascii="Times New Roman" w:hAnsi="Times New Roman"/>
              </w:rPr>
              <w:t>Kommentar:</w:t>
            </w:r>
          </w:p>
        </w:tc>
        <w:tc>
          <w:tcPr>
            <w:tcW w:w="1814" w:type="dxa"/>
          </w:tcPr>
          <w:p w:rsidR="00D20FBC" w:rsidRPr="00D20FBC" w:rsidRDefault="00D20FBC" w:rsidP="00D20FBC">
            <w:pPr>
              <w:spacing w:line="259" w:lineRule="auto"/>
              <w:rPr>
                <w:rFonts w:ascii="Times New Roman" w:hAnsi="Times New Roman"/>
              </w:rPr>
            </w:pPr>
            <w:r w:rsidRPr="00D20FBC">
              <w:rPr>
                <w:rFonts w:ascii="Times New Roman" w:hAnsi="Times New Roman"/>
              </w:rPr>
              <w:t>Godkjent av:</w:t>
            </w:r>
          </w:p>
        </w:tc>
      </w:tr>
      <w:tr w:rsidR="00D20FBC" w:rsidRPr="00D20FBC" w:rsidTr="00BA03BF">
        <w:trPr>
          <w:trHeight w:val="344"/>
        </w:trPr>
        <w:tc>
          <w:tcPr>
            <w:tcW w:w="1413" w:type="dxa"/>
          </w:tcPr>
          <w:p w:rsidR="00D20FBC" w:rsidRPr="00D20FBC" w:rsidRDefault="00D20FBC" w:rsidP="00D20FBC">
            <w:pPr>
              <w:spacing w:line="259" w:lineRule="auto"/>
              <w:rPr>
                <w:rFonts w:ascii="Times New Roman" w:hAnsi="Times New Roman"/>
              </w:rPr>
            </w:pPr>
            <w:r w:rsidRPr="00D20FBC">
              <w:rPr>
                <w:rFonts w:ascii="Times New Roman" w:hAnsi="Times New Roman"/>
              </w:rPr>
              <w:t>1</w:t>
            </w:r>
          </w:p>
        </w:tc>
        <w:tc>
          <w:tcPr>
            <w:tcW w:w="2268" w:type="dxa"/>
          </w:tcPr>
          <w:p w:rsidR="00D20FBC" w:rsidRPr="00D20FBC" w:rsidRDefault="00D20FBC" w:rsidP="00D20FBC">
            <w:pPr>
              <w:spacing w:line="259" w:lineRule="auto"/>
              <w:rPr>
                <w:rFonts w:ascii="Times New Roman" w:hAnsi="Times New Roman"/>
              </w:rPr>
            </w:pPr>
            <w:r w:rsidRPr="00D20FBC">
              <w:rPr>
                <w:rFonts w:ascii="Times New Roman" w:hAnsi="Times New Roman"/>
              </w:rPr>
              <w:t>Arve Thorsberg</w:t>
            </w:r>
          </w:p>
        </w:tc>
        <w:tc>
          <w:tcPr>
            <w:tcW w:w="1134" w:type="dxa"/>
          </w:tcPr>
          <w:p w:rsidR="00D20FBC" w:rsidRPr="00D20FBC" w:rsidRDefault="00D20FBC" w:rsidP="00D20FBC">
            <w:pPr>
              <w:spacing w:line="259" w:lineRule="auto"/>
              <w:rPr>
                <w:rFonts w:ascii="Times New Roman" w:hAnsi="Times New Roman"/>
              </w:rPr>
            </w:pPr>
            <w:r>
              <w:rPr>
                <w:rFonts w:ascii="Times New Roman" w:hAnsi="Times New Roman"/>
              </w:rPr>
              <w:t>Oktober 2018</w:t>
            </w:r>
          </w:p>
        </w:tc>
        <w:tc>
          <w:tcPr>
            <w:tcW w:w="2693" w:type="dxa"/>
          </w:tcPr>
          <w:p w:rsidR="00D20FBC" w:rsidRPr="00D20FBC" w:rsidRDefault="00D20FBC" w:rsidP="00D20FBC">
            <w:pPr>
              <w:spacing w:line="259" w:lineRule="auto"/>
              <w:rPr>
                <w:rFonts w:ascii="Times New Roman" w:hAnsi="Times New Roman"/>
              </w:rPr>
            </w:pPr>
          </w:p>
        </w:tc>
        <w:tc>
          <w:tcPr>
            <w:tcW w:w="1814" w:type="dxa"/>
          </w:tcPr>
          <w:p w:rsidR="00D20FBC" w:rsidRPr="00D20FBC" w:rsidRDefault="009F1A0E" w:rsidP="00D20FBC">
            <w:pPr>
              <w:spacing w:line="259" w:lineRule="auto"/>
              <w:rPr>
                <w:rFonts w:ascii="Times New Roman" w:hAnsi="Times New Roman"/>
              </w:rPr>
            </w:pPr>
            <w:r>
              <w:rPr>
                <w:rFonts w:ascii="Times New Roman" w:hAnsi="Times New Roman"/>
              </w:rPr>
              <w:t>Prorektor utdanning</w:t>
            </w:r>
          </w:p>
        </w:tc>
      </w:tr>
      <w:tr w:rsidR="00D20FBC" w:rsidRPr="00D20FBC" w:rsidTr="00BA03BF">
        <w:trPr>
          <w:trHeight w:val="364"/>
        </w:trPr>
        <w:tc>
          <w:tcPr>
            <w:tcW w:w="1413" w:type="dxa"/>
          </w:tcPr>
          <w:p w:rsidR="00D20FBC" w:rsidRPr="00D20FBC" w:rsidRDefault="00D20FBC" w:rsidP="00D20FBC">
            <w:pPr>
              <w:spacing w:line="259" w:lineRule="auto"/>
              <w:rPr>
                <w:rFonts w:ascii="Times New Roman" w:hAnsi="Times New Roman"/>
              </w:rPr>
            </w:pPr>
            <w:r>
              <w:rPr>
                <w:rFonts w:ascii="Times New Roman" w:hAnsi="Times New Roman"/>
              </w:rPr>
              <w:t>2</w:t>
            </w:r>
          </w:p>
        </w:tc>
        <w:tc>
          <w:tcPr>
            <w:tcW w:w="2268" w:type="dxa"/>
          </w:tcPr>
          <w:p w:rsidR="00D20FBC" w:rsidRPr="00D20FBC" w:rsidRDefault="00D20FBC" w:rsidP="00D20FBC">
            <w:pPr>
              <w:spacing w:line="259" w:lineRule="auto"/>
              <w:rPr>
                <w:rFonts w:ascii="Times New Roman" w:hAnsi="Times New Roman"/>
              </w:rPr>
            </w:pPr>
            <w:r>
              <w:rPr>
                <w:rFonts w:ascii="Times New Roman" w:hAnsi="Times New Roman"/>
              </w:rPr>
              <w:t>Arve Thorsberg</w:t>
            </w:r>
          </w:p>
        </w:tc>
        <w:tc>
          <w:tcPr>
            <w:tcW w:w="1134" w:type="dxa"/>
          </w:tcPr>
          <w:p w:rsidR="00D20FBC" w:rsidRPr="00D20FBC" w:rsidRDefault="00D20FBC" w:rsidP="00D20FBC">
            <w:pPr>
              <w:spacing w:line="259" w:lineRule="auto"/>
              <w:rPr>
                <w:rFonts w:ascii="Times New Roman" w:hAnsi="Times New Roman"/>
              </w:rPr>
            </w:pPr>
            <w:r>
              <w:rPr>
                <w:rFonts w:ascii="Times New Roman" w:hAnsi="Times New Roman"/>
              </w:rPr>
              <w:t>19.01.19</w:t>
            </w:r>
          </w:p>
        </w:tc>
        <w:tc>
          <w:tcPr>
            <w:tcW w:w="2693" w:type="dxa"/>
          </w:tcPr>
          <w:p w:rsidR="00D20FBC" w:rsidRPr="00D20FBC" w:rsidRDefault="00D20FBC" w:rsidP="00D20FBC">
            <w:pPr>
              <w:spacing w:line="259" w:lineRule="auto"/>
              <w:rPr>
                <w:rFonts w:ascii="Times New Roman" w:hAnsi="Times New Roman"/>
              </w:rPr>
            </w:pPr>
            <w:r>
              <w:rPr>
                <w:rFonts w:ascii="Times New Roman" w:hAnsi="Times New Roman"/>
              </w:rPr>
              <w:t>Tekstjusteringer</w:t>
            </w:r>
          </w:p>
        </w:tc>
        <w:tc>
          <w:tcPr>
            <w:tcW w:w="1814" w:type="dxa"/>
          </w:tcPr>
          <w:p w:rsidR="00D20FBC" w:rsidRPr="00D20FBC" w:rsidRDefault="00D20FBC" w:rsidP="00D20FBC">
            <w:pPr>
              <w:spacing w:line="259" w:lineRule="auto"/>
              <w:rPr>
                <w:rFonts w:ascii="Times New Roman" w:hAnsi="Times New Roman"/>
              </w:rPr>
            </w:pPr>
            <w:r>
              <w:rPr>
                <w:rFonts w:ascii="Times New Roman" w:hAnsi="Times New Roman"/>
              </w:rPr>
              <w:t>Studiedirektør</w:t>
            </w:r>
          </w:p>
        </w:tc>
      </w:tr>
      <w:tr w:rsidR="00D20FBC" w:rsidRPr="00D20FBC" w:rsidTr="00BA03BF">
        <w:trPr>
          <w:trHeight w:val="344"/>
        </w:trPr>
        <w:tc>
          <w:tcPr>
            <w:tcW w:w="1413" w:type="dxa"/>
          </w:tcPr>
          <w:p w:rsidR="00D20FBC" w:rsidRPr="00D20FBC" w:rsidRDefault="00D20FBC" w:rsidP="00D20FBC">
            <w:pPr>
              <w:spacing w:line="259" w:lineRule="auto"/>
              <w:rPr>
                <w:rFonts w:ascii="Times New Roman" w:hAnsi="Times New Roman"/>
              </w:rPr>
            </w:pPr>
          </w:p>
        </w:tc>
        <w:tc>
          <w:tcPr>
            <w:tcW w:w="2268" w:type="dxa"/>
          </w:tcPr>
          <w:p w:rsidR="00D20FBC" w:rsidRPr="00D20FBC" w:rsidRDefault="00D20FBC" w:rsidP="00D20FBC">
            <w:pPr>
              <w:spacing w:line="259" w:lineRule="auto"/>
              <w:rPr>
                <w:rFonts w:ascii="Times New Roman" w:hAnsi="Times New Roman"/>
              </w:rPr>
            </w:pPr>
          </w:p>
        </w:tc>
        <w:tc>
          <w:tcPr>
            <w:tcW w:w="1134" w:type="dxa"/>
          </w:tcPr>
          <w:p w:rsidR="00D20FBC" w:rsidRPr="00D20FBC" w:rsidRDefault="00D20FBC" w:rsidP="00D20FBC">
            <w:pPr>
              <w:spacing w:line="259" w:lineRule="auto"/>
              <w:rPr>
                <w:rFonts w:ascii="Times New Roman" w:hAnsi="Times New Roman"/>
              </w:rPr>
            </w:pPr>
          </w:p>
        </w:tc>
        <w:tc>
          <w:tcPr>
            <w:tcW w:w="2693" w:type="dxa"/>
          </w:tcPr>
          <w:p w:rsidR="00D20FBC" w:rsidRPr="00D20FBC" w:rsidRDefault="00D20FBC" w:rsidP="00D20FBC">
            <w:pPr>
              <w:spacing w:line="259" w:lineRule="auto"/>
              <w:rPr>
                <w:rFonts w:ascii="Times New Roman" w:hAnsi="Times New Roman"/>
              </w:rPr>
            </w:pPr>
          </w:p>
        </w:tc>
        <w:tc>
          <w:tcPr>
            <w:tcW w:w="1814" w:type="dxa"/>
          </w:tcPr>
          <w:p w:rsidR="00D20FBC" w:rsidRPr="00D20FBC" w:rsidRDefault="00D20FBC" w:rsidP="00D20FBC">
            <w:pPr>
              <w:spacing w:line="259" w:lineRule="auto"/>
              <w:rPr>
                <w:rFonts w:ascii="Times New Roman" w:hAnsi="Times New Roman"/>
              </w:rPr>
            </w:pPr>
          </w:p>
        </w:tc>
      </w:tr>
    </w:tbl>
    <w:p w:rsidR="00D20FBC" w:rsidRDefault="00D20FBC"/>
    <w:sectPr w:rsidR="00D20F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72" w:rsidRDefault="00796672" w:rsidP="00565BA5">
      <w:pPr>
        <w:spacing w:after="0" w:line="240" w:lineRule="auto"/>
      </w:pPr>
      <w:r>
        <w:separator/>
      </w:r>
    </w:p>
  </w:endnote>
  <w:endnote w:type="continuationSeparator" w:id="0">
    <w:p w:rsidR="00796672" w:rsidRDefault="00796672" w:rsidP="0056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65399"/>
      <w:docPartObj>
        <w:docPartGallery w:val="Page Numbers (Bottom of Page)"/>
        <w:docPartUnique/>
      </w:docPartObj>
    </w:sdtPr>
    <w:sdtEndPr/>
    <w:sdtContent>
      <w:p w:rsidR="00AD5FC8" w:rsidRDefault="00607F8A">
        <w:pPr>
          <w:pStyle w:val="Bunntekst"/>
          <w:jc w:val="right"/>
        </w:pPr>
        <w:r>
          <w:fldChar w:fldCharType="begin"/>
        </w:r>
        <w:r>
          <w:instrText>PAGE   \* MERGEFORMAT</w:instrText>
        </w:r>
        <w:r>
          <w:fldChar w:fldCharType="separate"/>
        </w:r>
        <w:r w:rsidR="00442982">
          <w:rPr>
            <w:noProof/>
          </w:rPr>
          <w:t>4</w:t>
        </w:r>
        <w:r>
          <w:fldChar w:fldCharType="end"/>
        </w:r>
      </w:p>
    </w:sdtContent>
  </w:sdt>
  <w:p w:rsidR="00AD5FC8" w:rsidRDefault="004429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72" w:rsidRDefault="00796672" w:rsidP="00565BA5">
      <w:pPr>
        <w:spacing w:after="0" w:line="240" w:lineRule="auto"/>
      </w:pPr>
      <w:r>
        <w:separator/>
      </w:r>
    </w:p>
  </w:footnote>
  <w:footnote w:type="continuationSeparator" w:id="0">
    <w:p w:rsidR="00796672" w:rsidRDefault="00796672" w:rsidP="00565BA5">
      <w:pPr>
        <w:spacing w:after="0" w:line="240" w:lineRule="auto"/>
      </w:pPr>
      <w:r>
        <w:continuationSeparator/>
      </w:r>
    </w:p>
  </w:footnote>
  <w:footnote w:id="1">
    <w:p w:rsidR="002D34CA" w:rsidRDefault="002D34CA">
      <w:pPr>
        <w:pStyle w:val="Fotnotetekst"/>
      </w:pPr>
      <w:r>
        <w:rPr>
          <w:rStyle w:val="Fotnotereferanse"/>
        </w:rPr>
        <w:footnoteRef/>
      </w:r>
      <w:r>
        <w:t xml:space="preserve"> Merk at for mastergradsstudier og doktorgradsstudier gjelder skjerpede krav i Studiekvalitetsforskriftens</w:t>
      </w:r>
      <w:r w:rsidR="00FE6AEA">
        <w:t xml:space="preserve"> (Forskrift om kvalitetssikring og kvalitetsutvikling i høyere utdanning og fagskoleutdanning)</w:t>
      </w:r>
      <w:r>
        <w:t xml:space="preserve"> §3-2 og §3-3. </w:t>
      </w:r>
    </w:p>
    <w:p w:rsidR="002D34CA" w:rsidRDefault="002D34CA">
      <w:pPr>
        <w:pStyle w:val="Fotnotetekst"/>
      </w:pPr>
      <w:r>
        <w:t>§3-2 Akkreditering av mastergradsstudi</w:t>
      </w:r>
      <w:r w:rsidR="00FE6AEA">
        <w:t>er (se også note under Del 3 i dette dokument)</w:t>
      </w:r>
    </w:p>
    <w:p w:rsidR="00FE6AEA" w:rsidRDefault="00FE6AEA">
      <w:pPr>
        <w:pStyle w:val="Fotnotetekst"/>
      </w:pPr>
      <w:r>
        <w:t xml:space="preserve">(1) Mastergradsstudiet skal være definert og avgrenset og ha tilstrekkelig faglig bredde </w:t>
      </w:r>
    </w:p>
    <w:p w:rsidR="00FE6AEA" w:rsidRDefault="00FE6AEA">
      <w:pPr>
        <w:pStyle w:val="Fotnotetekst"/>
      </w:pPr>
      <w:r>
        <w:t>§3-3 Akkreditering av doktorgradsstudier (se også note under Del 3 i dette dokument)</w:t>
      </w:r>
    </w:p>
    <w:p w:rsidR="00FE6AEA" w:rsidRDefault="00FE6AEA">
      <w:pPr>
        <w:pStyle w:val="Fotnotetekst"/>
      </w:pPr>
      <w:r>
        <w:t>(1) Institusjonen skal tilby utdanning og forskning på området for doktorgradsstudiet som har en kvalitet og et omfang som sikrer at doktorgradsstudiet kan gjennomføres på høyt vitenskapelig nivå. Institusjonen skal ha bredde i studietilbudene på lavere og høyere grads nivå innenfor området på doktorgradsstudiet.</w:t>
      </w:r>
    </w:p>
    <w:p w:rsidR="00FE6AEA" w:rsidRDefault="00FE6AEA">
      <w:pPr>
        <w:pStyle w:val="Fotnotetekst"/>
      </w:pPr>
      <w:r>
        <w:t>(2) Området for doktorgradsstudiet skal utgjøre en vitenskapelig helhet, og det skal være sammenheng mellom de enkelte delene studiet er satt sammen av.</w:t>
      </w:r>
    </w:p>
  </w:footnote>
  <w:footnote w:id="2">
    <w:p w:rsidR="00FD2D27" w:rsidRDefault="00FD2D27">
      <w:pPr>
        <w:pStyle w:val="Fotnotetekst"/>
      </w:pPr>
      <w:r>
        <w:rPr>
          <w:rStyle w:val="Fotnotereferanse"/>
        </w:rPr>
        <w:footnoteRef/>
      </w:r>
      <w:r>
        <w:t xml:space="preserve"> Merk at for masterstudier og doktorgrads</w:t>
      </w:r>
      <w:r w:rsidR="00FE6AEA">
        <w:t>studier gjelder skjerpede krav i Studiekvalitetsforskriften (Forskrift om kvalitetssikring og kvalitetsutvikling i høyere utdanning og fagskoleutdanning).</w:t>
      </w:r>
    </w:p>
    <w:p w:rsidR="00FD2D27" w:rsidRDefault="00FD2D27">
      <w:pPr>
        <w:pStyle w:val="Fotnotetekst"/>
      </w:pPr>
      <w:r>
        <w:t>For master</w:t>
      </w:r>
      <w:r w:rsidR="00FE6AEA">
        <w:t>grad</w:t>
      </w:r>
      <w:r>
        <w:t xml:space="preserve"> (§3-2): </w:t>
      </w:r>
    </w:p>
    <w:p w:rsidR="00FD2D27" w:rsidRDefault="00FD2D27">
      <w:pPr>
        <w:pStyle w:val="Fotnotetekst"/>
      </w:pPr>
      <w:r>
        <w:t>(1) Mastergradsstudiet skal være definert og avgrenset og ha tilstrekkelig faglig bredde.</w:t>
      </w:r>
    </w:p>
    <w:p w:rsidR="00FD2D27" w:rsidRDefault="00FD2D27">
      <w:pPr>
        <w:pStyle w:val="Fotnotetekst"/>
      </w:pPr>
      <w:r>
        <w:t>(2) Mastergradsstudiet skal ha et bredt og stabilt fagmiljø som består av tilstrekkelig antall ansatte med høy faglig kompetanse innenfor utdanning, forskning eller kunstnerisk utviklingsarbeid og faglig utviklingsarbeid innenfor studietilbudet. Fagmiljøet skal dekke fag og emner som studietilbudet består av. De ansatte i fagmiljøet skal ha relevant kompetanse.</w:t>
      </w:r>
    </w:p>
    <w:p w:rsidR="00FD2D27" w:rsidRDefault="00FD2D27">
      <w:pPr>
        <w:pStyle w:val="Fotnotetekst"/>
      </w:pPr>
      <w:r>
        <w:t>(3) Fagmiljøet skal kunne vise til dokumenterte resultater på høyt nivå og resultater fra samarbeid med andre fagmiljøer nasjonalt og internasjonalt. Vurderingene skal dokumenteres.</w:t>
      </w:r>
    </w:p>
    <w:p w:rsidR="00FD2D27" w:rsidRDefault="00FE6AEA" w:rsidP="00FD2D27">
      <w:pPr>
        <w:pStyle w:val="Fotnotetekst"/>
      </w:pPr>
      <w:r>
        <w:t>For doktorgrad (§3-3</w:t>
      </w:r>
      <w:r w:rsidR="00FD2D27">
        <w:t>)</w:t>
      </w:r>
      <w:r>
        <w:t>:</w:t>
      </w:r>
      <w:r w:rsidR="00995B0C">
        <w:t xml:space="preserve"> (utdrag her)</w:t>
      </w:r>
    </w:p>
    <w:p w:rsidR="00FE6AEA" w:rsidRDefault="00FE6AEA" w:rsidP="00FD2D27">
      <w:pPr>
        <w:pStyle w:val="Fotnotetekst"/>
      </w:pPr>
      <w:r>
        <w:t>(3) Doktorgradsstudiet skal ha et fagmiljø med høy kompetanse innenfor utdanning og forskning /…/</w:t>
      </w:r>
    </w:p>
    <w:p w:rsidR="00FE6AEA" w:rsidRDefault="00FE6AEA" w:rsidP="00FD2D27">
      <w:pPr>
        <w:pStyle w:val="Fotnotetekst"/>
      </w:pPr>
      <w:r>
        <w:t>(4) Fagmiljøet skal ha dybde og bredde innenfor alle vesentlige deler av doktorgradsstudiet</w:t>
      </w:r>
      <w:r w:rsidR="00995B0C">
        <w:t xml:space="preserve"> /…/.</w:t>
      </w:r>
    </w:p>
    <w:p w:rsidR="00995B0C" w:rsidRDefault="00995B0C" w:rsidP="00FD2D27">
      <w:pPr>
        <w:pStyle w:val="Fotnotetekst"/>
      </w:pPr>
      <w:r>
        <w:t>(5) Doktorgradsstudiet skal ha et fagmiljø som er stabilt og består av tilstrekkelig antall ansatte med professor- og førsteamanuensiskompetanse innenfor hele bredden av studietilbudet /…/.</w:t>
      </w:r>
    </w:p>
    <w:p w:rsidR="00FE6AEA" w:rsidRDefault="00FE6AEA" w:rsidP="00FD2D27">
      <w:pPr>
        <w:pStyle w:val="Fotnotetekst"/>
      </w:pPr>
    </w:p>
    <w:p w:rsidR="00FE6AEA" w:rsidRDefault="00FE6AEA" w:rsidP="00FD2D27">
      <w:pPr>
        <w:pStyle w:val="Fotnotetekst"/>
      </w:pPr>
    </w:p>
    <w:p w:rsidR="00FD2D27" w:rsidRDefault="00FD2D27">
      <w:pPr>
        <w:pStyle w:val="Fotnotetekst"/>
      </w:pPr>
    </w:p>
  </w:footnote>
  <w:footnote w:id="3">
    <w:p w:rsidR="00FD2D27" w:rsidRDefault="00FD2D27" w:rsidP="00565BA5">
      <w:pPr>
        <w:pStyle w:val="footnotedescription"/>
      </w:pPr>
    </w:p>
    <w:p w:rsidR="00565BA5" w:rsidRDefault="00565BA5" w:rsidP="00565BA5">
      <w:pPr>
        <w:pStyle w:val="footnotedescription"/>
      </w:pPr>
      <w:r>
        <w:rPr>
          <w:rStyle w:val="footnotemark"/>
          <w:rFonts w:eastAsiaTheme="majorEastAsia"/>
        </w:rPr>
        <w:footnoteRef/>
      </w:r>
      <w:r>
        <w:t xml:space="preserve"> Vi gjør oppmerksom på at «hvorav» i setningen viser tilbake på det totale fagmiljøet.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9A" w:rsidRPr="00DB3416" w:rsidRDefault="00C44C49" w:rsidP="0041229A">
    <w:pPr>
      <w:pStyle w:val="Overskrift2"/>
      <w:jc w:val="center"/>
      <w:rPr>
        <w:b/>
        <w:color w:val="000000" w:themeColor="text1"/>
        <w:sz w:val="32"/>
      </w:rPr>
    </w:pPr>
    <w:r>
      <w:rPr>
        <w:noProof/>
        <w:sz w:val="40"/>
        <w:lang w:eastAsia="nb-NO"/>
      </w:rPr>
      <w:drawing>
        <wp:inline distT="0" distB="0" distL="0" distR="0" wp14:anchorId="3A3CD361" wp14:editId="4A8611DF">
          <wp:extent cx="1624140" cy="392430"/>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_logo_sidestilt_svart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641" cy="416230"/>
                  </a:xfrm>
                  <a:prstGeom prst="rect">
                    <a:avLst/>
                  </a:prstGeom>
                </pic:spPr>
              </pic:pic>
            </a:graphicData>
          </a:graphic>
        </wp:inline>
      </w:drawing>
    </w:r>
    <w:r>
      <w:rPr>
        <w:b/>
        <w:color w:val="000000" w:themeColor="text1"/>
        <w:sz w:val="32"/>
      </w:rPr>
      <w:t xml:space="preserve">  </w:t>
    </w:r>
    <w:r w:rsidR="0041229A" w:rsidRPr="00DB3416">
      <w:rPr>
        <w:b/>
        <w:color w:val="000000" w:themeColor="text1"/>
        <w:sz w:val="32"/>
      </w:rPr>
      <w:t>Mal for søknad om akkreditering av studietilbud</w:t>
    </w:r>
  </w:p>
  <w:p w:rsidR="00AD5FC8" w:rsidRDefault="00442982" w:rsidP="000F147E">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CA7"/>
    <w:multiLevelType w:val="hybridMultilevel"/>
    <w:tmpl w:val="46E64DEE"/>
    <w:lvl w:ilvl="0" w:tplc="0CAED0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2C0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D0BB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A6D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CEC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4F5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E14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0C3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7C5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370BD"/>
    <w:multiLevelType w:val="hybridMultilevel"/>
    <w:tmpl w:val="8CF2C490"/>
    <w:lvl w:ilvl="0" w:tplc="5D8891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281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1CBF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82E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0C3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D2D1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F28F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CD0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048A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753BEC"/>
    <w:multiLevelType w:val="hybridMultilevel"/>
    <w:tmpl w:val="1E4EF656"/>
    <w:lvl w:ilvl="0" w:tplc="047670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2F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6CC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0B0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4AE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267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843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06A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E00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155B6A"/>
    <w:multiLevelType w:val="hybridMultilevel"/>
    <w:tmpl w:val="9B266A0C"/>
    <w:lvl w:ilvl="0" w:tplc="B420AC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44C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A64A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C8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21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FEA8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277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462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E045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576D81"/>
    <w:multiLevelType w:val="hybridMultilevel"/>
    <w:tmpl w:val="3EAA6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027D01"/>
    <w:multiLevelType w:val="hybridMultilevel"/>
    <w:tmpl w:val="85684FE2"/>
    <w:lvl w:ilvl="0" w:tplc="5FD86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BE11B2"/>
    <w:multiLevelType w:val="hybridMultilevel"/>
    <w:tmpl w:val="213A0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E300C6"/>
    <w:multiLevelType w:val="hybridMultilevel"/>
    <w:tmpl w:val="BEA8BFAA"/>
    <w:lvl w:ilvl="0" w:tplc="7F36C4CC">
      <w:start w:val="1"/>
      <w:numFmt w:val="bullet"/>
      <w:lvlText w:val="•"/>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6E14C">
      <w:start w:val="1"/>
      <w:numFmt w:val="bullet"/>
      <w:lvlText w:val="o"/>
      <w:lvlJc w:val="left"/>
      <w:pPr>
        <w:ind w:left="1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B8F6BC">
      <w:start w:val="1"/>
      <w:numFmt w:val="bullet"/>
      <w:lvlText w:val="▪"/>
      <w:lvlJc w:val="left"/>
      <w:pPr>
        <w:ind w:left="2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ACE792">
      <w:start w:val="1"/>
      <w:numFmt w:val="bullet"/>
      <w:lvlText w:val="•"/>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09CC8">
      <w:start w:val="1"/>
      <w:numFmt w:val="bullet"/>
      <w:lvlText w:val="o"/>
      <w:lvlJc w:val="left"/>
      <w:pPr>
        <w:ind w:left="3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229DC2">
      <w:start w:val="1"/>
      <w:numFmt w:val="bullet"/>
      <w:lvlText w:val="▪"/>
      <w:lvlJc w:val="left"/>
      <w:pPr>
        <w:ind w:left="4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44323C">
      <w:start w:val="1"/>
      <w:numFmt w:val="bullet"/>
      <w:lvlText w:val="•"/>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DC592E">
      <w:start w:val="1"/>
      <w:numFmt w:val="bullet"/>
      <w:lvlText w:val="o"/>
      <w:lvlJc w:val="left"/>
      <w:pPr>
        <w:ind w:left="5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1E69F8">
      <w:start w:val="1"/>
      <w:numFmt w:val="bullet"/>
      <w:lvlText w:val="▪"/>
      <w:lvlJc w:val="left"/>
      <w:pPr>
        <w:ind w:left="6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05113B"/>
    <w:multiLevelType w:val="hybridMultilevel"/>
    <w:tmpl w:val="BC685430"/>
    <w:lvl w:ilvl="0" w:tplc="90605D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534056"/>
    <w:multiLevelType w:val="hybridMultilevel"/>
    <w:tmpl w:val="C610FED8"/>
    <w:lvl w:ilvl="0" w:tplc="395CE2D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082B33"/>
    <w:multiLevelType w:val="hybridMultilevel"/>
    <w:tmpl w:val="ECBCA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E609CD"/>
    <w:multiLevelType w:val="hybridMultilevel"/>
    <w:tmpl w:val="7E1210D0"/>
    <w:lvl w:ilvl="0" w:tplc="704EE0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E90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12D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A061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646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445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B2BE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F01E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898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007FAE"/>
    <w:multiLevelType w:val="hybridMultilevel"/>
    <w:tmpl w:val="FD5E8838"/>
    <w:lvl w:ilvl="0" w:tplc="3BD230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A02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223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284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0DC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969C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E8B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680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CAB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7B5DFF"/>
    <w:multiLevelType w:val="hybridMultilevel"/>
    <w:tmpl w:val="AD76F748"/>
    <w:lvl w:ilvl="0" w:tplc="454E42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4D3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46F3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DE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1ABA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6AA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458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6E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09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56757F"/>
    <w:multiLevelType w:val="hybridMultilevel"/>
    <w:tmpl w:val="BAEC7BE4"/>
    <w:lvl w:ilvl="0" w:tplc="66EABA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0D1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ECD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A9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5696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7C56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36AC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25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C3B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BE3B31"/>
    <w:multiLevelType w:val="hybridMultilevel"/>
    <w:tmpl w:val="1DC2E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01178F"/>
    <w:multiLevelType w:val="hybridMultilevel"/>
    <w:tmpl w:val="1A56B672"/>
    <w:lvl w:ilvl="0" w:tplc="ACEA08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7E8B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18C0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8802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A40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DEB4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28C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299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4D9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C91974"/>
    <w:multiLevelType w:val="hybridMultilevel"/>
    <w:tmpl w:val="7C0ECAD2"/>
    <w:lvl w:ilvl="0" w:tplc="9544E7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4DF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D8E8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9CC6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8BB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38FE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586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691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D00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7"/>
  </w:num>
  <w:num w:numId="3">
    <w:abstractNumId w:val="1"/>
  </w:num>
  <w:num w:numId="4">
    <w:abstractNumId w:val="14"/>
  </w:num>
  <w:num w:numId="5">
    <w:abstractNumId w:val="3"/>
  </w:num>
  <w:num w:numId="6">
    <w:abstractNumId w:val="11"/>
  </w:num>
  <w:num w:numId="7">
    <w:abstractNumId w:val="12"/>
  </w:num>
  <w:num w:numId="8">
    <w:abstractNumId w:val="2"/>
  </w:num>
  <w:num w:numId="9">
    <w:abstractNumId w:val="0"/>
  </w:num>
  <w:num w:numId="10">
    <w:abstractNumId w:val="7"/>
  </w:num>
  <w:num w:numId="11">
    <w:abstractNumId w:val="13"/>
  </w:num>
  <w:num w:numId="12">
    <w:abstractNumId w:val="15"/>
  </w:num>
  <w:num w:numId="13">
    <w:abstractNumId w:val="8"/>
  </w:num>
  <w:num w:numId="14">
    <w:abstractNumId w:val="6"/>
  </w:num>
  <w:num w:numId="15">
    <w:abstractNumId w:val="4"/>
  </w:num>
  <w:num w:numId="16">
    <w:abstractNumId w:val="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A5"/>
    <w:rsid w:val="000D757D"/>
    <w:rsid w:val="00100AF4"/>
    <w:rsid w:val="0029236F"/>
    <w:rsid w:val="002D34CA"/>
    <w:rsid w:val="003E4FA5"/>
    <w:rsid w:val="0040756E"/>
    <w:rsid w:val="0041229A"/>
    <w:rsid w:val="00442982"/>
    <w:rsid w:val="00473501"/>
    <w:rsid w:val="004D0E30"/>
    <w:rsid w:val="004E6878"/>
    <w:rsid w:val="00565BA5"/>
    <w:rsid w:val="00607F8A"/>
    <w:rsid w:val="00796672"/>
    <w:rsid w:val="007C1AED"/>
    <w:rsid w:val="008E2BE6"/>
    <w:rsid w:val="00995B0C"/>
    <w:rsid w:val="009F1A0E"/>
    <w:rsid w:val="00C44C49"/>
    <w:rsid w:val="00C5342F"/>
    <w:rsid w:val="00C86068"/>
    <w:rsid w:val="00D20FBC"/>
    <w:rsid w:val="00DB3416"/>
    <w:rsid w:val="00DF4EE4"/>
    <w:rsid w:val="00FD2D27"/>
    <w:rsid w:val="00FE6A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C1F4-8D60-4728-9EC2-2B5CFB90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A5"/>
  </w:style>
  <w:style w:type="paragraph" w:styleId="Overskrift2">
    <w:name w:val="heading 2"/>
    <w:basedOn w:val="Normal"/>
    <w:next w:val="Normal"/>
    <w:link w:val="Overskrift2Tegn"/>
    <w:uiPriority w:val="9"/>
    <w:unhideWhenUsed/>
    <w:qFormat/>
    <w:rsid w:val="0056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6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65BA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565BA5"/>
    <w:rPr>
      <w:rFonts w:asciiTheme="majorHAnsi" w:eastAsiaTheme="majorEastAsia" w:hAnsiTheme="majorHAnsi" w:cstheme="majorBidi"/>
      <w:color w:val="1F4D78" w:themeColor="accent1" w:themeShade="7F"/>
      <w:sz w:val="24"/>
      <w:szCs w:val="24"/>
    </w:rPr>
  </w:style>
  <w:style w:type="table" w:customStyle="1" w:styleId="TableGrid">
    <w:name w:val="TableGrid"/>
    <w:rsid w:val="00565BA5"/>
    <w:pPr>
      <w:spacing w:after="0" w:line="240" w:lineRule="auto"/>
    </w:pPr>
    <w:rPr>
      <w:rFonts w:eastAsiaTheme="minorEastAsia"/>
      <w:lang w:eastAsia="nb-NO"/>
    </w:rPr>
    <w:tblPr>
      <w:tblCellMar>
        <w:top w:w="0" w:type="dxa"/>
        <w:left w:w="0" w:type="dxa"/>
        <w:bottom w:w="0" w:type="dxa"/>
        <w:right w:w="0" w:type="dxa"/>
      </w:tblCellMar>
    </w:tblPr>
  </w:style>
  <w:style w:type="paragraph" w:styleId="Topptekst">
    <w:name w:val="header"/>
    <w:basedOn w:val="Normal"/>
    <w:link w:val="TopptekstTegn"/>
    <w:uiPriority w:val="99"/>
    <w:unhideWhenUsed/>
    <w:rsid w:val="00565B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5BA5"/>
  </w:style>
  <w:style w:type="paragraph" w:styleId="Bunntekst">
    <w:name w:val="footer"/>
    <w:basedOn w:val="Normal"/>
    <w:link w:val="BunntekstTegn"/>
    <w:uiPriority w:val="99"/>
    <w:unhideWhenUsed/>
    <w:rsid w:val="00565B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5BA5"/>
  </w:style>
  <w:style w:type="paragraph" w:styleId="Merknadstekst">
    <w:name w:val="annotation text"/>
    <w:basedOn w:val="Normal"/>
    <w:link w:val="MerknadstekstTegn"/>
    <w:uiPriority w:val="99"/>
    <w:unhideWhenUsed/>
    <w:rsid w:val="00565BA5"/>
    <w:pPr>
      <w:spacing w:line="240" w:lineRule="auto"/>
    </w:pPr>
    <w:rPr>
      <w:sz w:val="20"/>
      <w:szCs w:val="20"/>
    </w:rPr>
  </w:style>
  <w:style w:type="character" w:customStyle="1" w:styleId="MerknadstekstTegn">
    <w:name w:val="Merknadstekst Tegn"/>
    <w:basedOn w:val="Standardskriftforavsnitt"/>
    <w:link w:val="Merknadstekst"/>
    <w:uiPriority w:val="99"/>
    <w:rsid w:val="00565BA5"/>
    <w:rPr>
      <w:sz w:val="20"/>
      <w:szCs w:val="20"/>
    </w:rPr>
  </w:style>
  <w:style w:type="paragraph" w:customStyle="1" w:styleId="footnotedescription">
    <w:name w:val="footnote description"/>
    <w:next w:val="Normal"/>
    <w:link w:val="footnotedescriptionChar"/>
    <w:hidden/>
    <w:rsid w:val="00565BA5"/>
    <w:pPr>
      <w:spacing w:after="0"/>
    </w:pPr>
    <w:rPr>
      <w:rFonts w:ascii="Times New Roman" w:eastAsia="Times New Roman" w:hAnsi="Times New Roman" w:cs="Times New Roman"/>
      <w:color w:val="000000"/>
      <w:sz w:val="16"/>
      <w:lang w:eastAsia="nb-NO"/>
    </w:rPr>
  </w:style>
  <w:style w:type="character" w:customStyle="1" w:styleId="footnotedescriptionChar">
    <w:name w:val="footnote description Char"/>
    <w:link w:val="footnotedescription"/>
    <w:rsid w:val="00565BA5"/>
    <w:rPr>
      <w:rFonts w:ascii="Times New Roman" w:eastAsia="Times New Roman" w:hAnsi="Times New Roman" w:cs="Times New Roman"/>
      <w:color w:val="000000"/>
      <w:sz w:val="16"/>
      <w:lang w:eastAsia="nb-NO"/>
    </w:rPr>
  </w:style>
  <w:style w:type="character" w:customStyle="1" w:styleId="footnotemark">
    <w:name w:val="footnote mark"/>
    <w:hidden/>
    <w:rsid w:val="00565BA5"/>
    <w:rPr>
      <w:rFonts w:ascii="Times New Roman" w:eastAsia="Times New Roman" w:hAnsi="Times New Roman" w:cs="Times New Roman"/>
      <w:color w:val="000000"/>
      <w:sz w:val="16"/>
      <w:vertAlign w:val="superscript"/>
    </w:rPr>
  </w:style>
  <w:style w:type="paragraph" w:styleId="Listeavsnitt">
    <w:name w:val="List Paragraph"/>
    <w:basedOn w:val="Normal"/>
    <w:uiPriority w:val="34"/>
    <w:qFormat/>
    <w:rsid w:val="00DB3416"/>
    <w:pPr>
      <w:ind w:left="720"/>
      <w:contextualSpacing/>
    </w:pPr>
  </w:style>
  <w:style w:type="paragraph" w:styleId="Fotnotetekst">
    <w:name w:val="footnote text"/>
    <w:basedOn w:val="Normal"/>
    <w:link w:val="FotnotetekstTegn"/>
    <w:uiPriority w:val="99"/>
    <w:unhideWhenUsed/>
    <w:rsid w:val="00FD2D27"/>
    <w:pPr>
      <w:spacing w:after="0" w:line="240" w:lineRule="auto"/>
    </w:pPr>
    <w:rPr>
      <w:sz w:val="20"/>
      <w:szCs w:val="20"/>
    </w:rPr>
  </w:style>
  <w:style w:type="character" w:customStyle="1" w:styleId="FotnotetekstTegn">
    <w:name w:val="Fotnotetekst Tegn"/>
    <w:basedOn w:val="Standardskriftforavsnitt"/>
    <w:link w:val="Fotnotetekst"/>
    <w:uiPriority w:val="99"/>
    <w:rsid w:val="00FD2D27"/>
    <w:rPr>
      <w:sz w:val="20"/>
      <w:szCs w:val="20"/>
    </w:rPr>
  </w:style>
  <w:style w:type="character" w:styleId="Fotnotereferanse">
    <w:name w:val="footnote reference"/>
    <w:basedOn w:val="Standardskriftforavsnitt"/>
    <w:uiPriority w:val="99"/>
    <w:semiHidden/>
    <w:unhideWhenUsed/>
    <w:rsid w:val="00FD2D27"/>
    <w:rPr>
      <w:vertAlign w:val="superscript"/>
    </w:rPr>
  </w:style>
  <w:style w:type="paragraph" w:styleId="Bobletekst">
    <w:name w:val="Balloon Text"/>
    <w:basedOn w:val="Normal"/>
    <w:link w:val="BobletekstTegn"/>
    <w:uiPriority w:val="99"/>
    <w:semiHidden/>
    <w:unhideWhenUsed/>
    <w:rsid w:val="002D34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34CA"/>
    <w:rPr>
      <w:rFonts w:ascii="Segoe UI" w:hAnsi="Segoe UI" w:cs="Segoe UI"/>
      <w:sz w:val="18"/>
      <w:szCs w:val="18"/>
    </w:rPr>
  </w:style>
  <w:style w:type="table" w:customStyle="1" w:styleId="Tabellrutenett1">
    <w:name w:val="Tabellrutenett1"/>
    <w:basedOn w:val="Vanligtabell"/>
    <w:next w:val="Tabellrutenett"/>
    <w:uiPriority w:val="39"/>
    <w:rsid w:val="00D20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D2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73E8-5CEE-431D-9D5F-E20FF1E5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2224</Words>
  <Characters>11790</Characters>
  <Application>Microsoft Office Word</Application>
  <DocSecurity>4</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Høgskolen i Lillehammer</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Thorsberg</dc:creator>
  <cp:keywords/>
  <dc:description/>
  <cp:lastModifiedBy>Grethe Karin Sveen</cp:lastModifiedBy>
  <cp:revision>2</cp:revision>
  <cp:lastPrinted>2019-01-16T14:13:00Z</cp:lastPrinted>
  <dcterms:created xsi:type="dcterms:W3CDTF">2019-02-05T13:43:00Z</dcterms:created>
  <dcterms:modified xsi:type="dcterms:W3CDTF">2019-02-05T13:43:00Z</dcterms:modified>
</cp:coreProperties>
</file>